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Ciencias Naturales · 7°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Ciencias Naturales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7°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4 h pedagógicas semanales · 152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7° básico, los estudiantes investigan el comportamiento y la clasificación de la materia, las fuerzas y los fenómenos de la Tierra (tectónica de placas, volcanes, rocas y clima), los microorganismos y las barreras defensivas del cuerpo humano, y la sexualidad y el autocuidado, desarrollando las habilidades de investigación científica y actitudes de curiosidad, rigor, cuidado de la salud y del entorno.</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Comportamiento de la materia y su clasificación</w:t>
            </w:r>
          </w:p>
        </w:tc>
        <w:tc>
          <w:tcPr>
            <w:tcW w:type="dxa" w:w="5329"/>
          </w:tcPr>
          <w:p>
            <w:pPr>
              <w:keepNext/>
            </w:pPr>
            <w:r>
              <w:rPr>
                <w:b w:val="0"/>
                <w:i w:val="0"/>
                <w:sz w:val="18"/>
              </w:rPr>
              <w:t>Semanas 1 a 9</w:t>
            </w:r>
          </w:p>
        </w:tc>
        <w:tc>
          <w:tcPr>
            <w:tcW w:type="dxa" w:w="2268"/>
          </w:tcPr>
          <w:p>
            <w:pPr>
              <w:keepNext/>
            </w:pPr>
            <w:r>
              <w:rPr>
                <w:b w:val="0"/>
                <w:i w:val="0"/>
                <w:sz w:val="18"/>
              </w:rPr>
              <w:t>≈ 8</w:t>
            </w:r>
          </w:p>
        </w:tc>
        <w:tc>
          <w:tcPr>
            <w:tcW w:type="dxa" w:w="2268"/>
          </w:tcPr>
          <w:p>
            <w:pPr>
              <w:keepNext/>
            </w:pPr>
            <w:r>
              <w:rPr>
                <w:b w:val="0"/>
                <w:i w:val="0"/>
                <w:sz w:val="18"/>
              </w:rPr>
              <w:t>34</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Fuerza y ciencias de la Tierra</w:t>
            </w:r>
          </w:p>
        </w:tc>
        <w:tc>
          <w:tcPr>
            <w:tcW w:type="dxa" w:w="5329"/>
          </w:tcPr>
          <w:p>
            <w:pPr>
              <w:keepNext/>
            </w:pPr>
            <w:r>
              <w:rPr>
                <w:b w:val="0"/>
                <w:i w:val="0"/>
                <w:sz w:val="18"/>
              </w:rPr>
              <w:t>Semanas 10 a 19</w:t>
            </w:r>
          </w:p>
        </w:tc>
        <w:tc>
          <w:tcPr>
            <w:tcW w:type="dxa" w:w="2268"/>
          </w:tcPr>
          <w:p>
            <w:pPr>
              <w:keepNext/>
            </w:pPr>
            <w:r>
              <w:rPr>
                <w:b w:val="0"/>
                <w:i w:val="0"/>
                <w:sz w:val="18"/>
              </w:rPr>
              <w:t>≈ 10</w:t>
            </w:r>
          </w:p>
        </w:tc>
        <w:tc>
          <w:tcPr>
            <w:tcW w:type="dxa" w:w="2268"/>
          </w:tcPr>
          <w:p>
            <w:pPr>
              <w:keepNext/>
            </w:pPr>
            <w:r>
              <w:rPr>
                <w:b w:val="0"/>
                <w:i w:val="0"/>
                <w:sz w:val="18"/>
              </w:rPr>
              <w:t>39</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Microorganismos y barreras defensivas del cuerpo humano</w:t>
            </w:r>
          </w:p>
        </w:tc>
        <w:tc>
          <w:tcPr>
            <w:tcW w:type="dxa" w:w="5329"/>
          </w:tcPr>
          <w:p>
            <w:pPr>
              <w:keepNext/>
            </w:pPr>
            <w:r>
              <w:rPr>
                <w:b w:val="0"/>
                <w:i w:val="0"/>
                <w:sz w:val="18"/>
              </w:rPr>
              <w:t>Semanas 20 a 28</w:t>
            </w:r>
          </w:p>
        </w:tc>
        <w:tc>
          <w:tcPr>
            <w:tcW w:type="dxa" w:w="2268"/>
          </w:tcPr>
          <w:p>
            <w:pPr>
              <w:keepNext/>
            </w:pPr>
            <w:r>
              <w:rPr>
                <w:b w:val="0"/>
                <w:i w:val="0"/>
                <w:sz w:val="18"/>
              </w:rPr>
              <w:t>≈ 7</w:t>
            </w:r>
          </w:p>
        </w:tc>
        <w:tc>
          <w:tcPr>
            <w:tcW w:type="dxa" w:w="2268"/>
          </w:tcPr>
          <w:p>
            <w:pPr>
              <w:keepNext/>
            </w:pPr>
            <w:r>
              <w:rPr>
                <w:b w:val="0"/>
                <w:i w:val="0"/>
                <w:sz w:val="18"/>
              </w:rPr>
              <w:t>27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Sexualidad y autocuidado</w:t>
            </w:r>
          </w:p>
        </w:tc>
        <w:tc>
          <w:tcPr>
            <w:tcW w:type="dxa" w:w="5329"/>
          </w:tcPr>
          <w:p>
            <w:pPr>
              <w:keepNext/>
            </w:pPr>
            <w:r>
              <w:rPr>
                <w:b w:val="0"/>
                <w:i w:val="0"/>
                <w:sz w:val="18"/>
              </w:rPr>
              <w:t>Semanas 29 a 38</w:t>
            </w:r>
          </w:p>
        </w:tc>
        <w:tc>
          <w:tcPr>
            <w:tcW w:type="dxa" w:w="2268"/>
          </w:tcPr>
          <w:p>
            <w:pPr>
              <w:keepNext/>
            </w:pPr>
            <w:r>
              <w:rPr>
                <w:b w:val="0"/>
                <w:i w:val="0"/>
                <w:sz w:val="18"/>
              </w:rPr>
              <w:t>≈ 7</w:t>
            </w:r>
          </w:p>
        </w:tc>
        <w:tc>
          <w:tcPr>
            <w:tcW w:type="dxa" w:w="2268"/>
          </w:tcPr>
          <w:p>
            <w:pPr>
              <w:keepNext/>
            </w:pPr>
            <w:r>
              <w:rPr>
                <w:b w:val="0"/>
                <w:i w:val="0"/>
                <w:sz w:val="18"/>
              </w:rPr>
              <w:t>29</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23</w:t>
            </w:r>
          </w:p>
        </w:tc>
      </w:tr>
      <w:tr>
        <w:tc>
          <w:tcPr>
            <w:tcW w:type="dxa" w:w="14400"/>
            <w:gridSpan w:val="4"/>
          </w:tcPr>
          <w:p>
            <w:r/>
            <w:r>
              <w:rPr>
                <w:b/>
                <w:i w:val="0"/>
                <w:sz w:val="18"/>
              </w:rPr>
              <w:t>Total anual</w:t>
            </w:r>
          </w:p>
        </w:tc>
        <w:tc>
          <w:tcPr>
            <w:tcW w:type="dxa" w:w="2268"/>
          </w:tcPr>
          <w:p>
            <w:r>
              <w:rPr>
                <w:b/>
                <w:i w:val="0"/>
                <w:sz w:val="18"/>
              </w:rPr>
              <w:t>152</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Comportamiento de la materia y su clasificación</w:t>
            </w:r>
          </w:p>
          <w:p>
            <w:r>
              <w:rPr>
                <w:b w:val="0"/>
                <w:i w:val="0"/>
                <w:sz w:val="15"/>
              </w:rPr>
              <w:t>Esta unidad busca que las y los estudiantes comprendan el comportamiento de los gases por medio del reconocimiento de características y variables que modifican su comportamiento y que aborden el estudio de las leyes que los describen mediante la experimentación, utilizando la teoría cinético-molecular como modelo para explicar el comportamiento a nivel microscópico y las consecuencias de las variables que los afectan a nivel macroscópico.</w:t>
            </w:r>
          </w:p>
          <w:p>
            <w:r>
              <w:rPr>
                <w:b w:val="0"/>
                <w:i w:val="0"/>
                <w:color w:val="595959"/>
                <w:sz w:val="14"/>
              </w:rPr>
              <w:t>Programa, págs. 80–129</w:t>
            </w:r>
          </w:p>
        </w:tc>
        <w:tc>
          <w:tcPr>
            <w:tcW w:type="dxa" w:w="1134"/>
          </w:tcPr>
          <w:p>
            <w:r/>
            <w:r>
              <w:rPr>
                <w:b/>
                <w:i w:val="0"/>
                <w:sz w:val="15"/>
              </w:rPr>
              <w:t>Semestre 1</w:t>
            </w:r>
          </w:p>
          <w:p>
            <w:r>
              <w:rPr>
                <w:b w:val="0"/>
                <w:i w:val="0"/>
                <w:sz w:val="15"/>
              </w:rPr>
              <w:t>34 h pedagógicas</w:t>
            </w:r>
          </w:p>
          <w:p>
            <w:r>
              <w:rPr>
                <w:b w:val="0"/>
                <w:i w:val="0"/>
                <w:color w:val="595959"/>
                <w:sz w:val="15"/>
              </w:rPr>
              <w:t>Semanas 1 a 9</w:t>
            </w:r>
          </w:p>
        </w:tc>
        <w:tc>
          <w:tcPr>
            <w:tcW w:type="dxa" w:w="1134"/>
          </w:tcPr>
          <w:p>
            <w:r/>
            <w:r>
              <w:rPr>
                <w:b/>
                <w:i w:val="0"/>
                <w:sz w:val="15"/>
              </w:rPr>
              <w:t>OA 13, OA 14, OA 15</w:t>
            </w:r>
          </w:p>
          <w:p>
            <w:r>
              <w:rPr>
                <w:b w:val="0"/>
                <w:i w:val="0"/>
                <w:color w:val="595959"/>
                <w:sz w:val="14"/>
              </w:rPr>
              <w:t>(texto en Anexo G)</w:t>
            </w:r>
          </w:p>
          <w:p>
            <w:r>
              <w:rPr>
                <w:b w:val="0"/>
                <w:i w:val="0"/>
                <w:sz w:val="14"/>
              </w:rPr>
              <w:t>Evaluados en los ejemplos del Programa:</w:t>
            </w:r>
          </w:p>
          <w:p>
            <w:r>
              <w:rPr>
                <w:b/>
                <w:i w:val="0"/>
                <w:sz w:val="15"/>
              </w:rPr>
              <w:t>OA 13, OA 14, OA 15</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Formular y fundamentar predicciones basadas en conocimiento científico. (OA c)</w:t>
            </w:r>
          </w:p>
          <w:p>
            <w:pPr>
              <w:pStyle w:val="ListBullet"/>
              <w:spacing w:after="20"/>
              <w:ind w:left="198" w:hanging="170"/>
            </w:pPr>
            <w:r>
              <w:rPr>
                <w:b w:val="0"/>
                <w:i w:val="0"/>
                <w:sz w:val="15"/>
              </w:rPr>
              <w:t>Planificar una investigación experimental sobre la base de una pregunta y/o problema y diversas fuentes de información científica, considerando:</w:t>
              <w:br/>
              <w:t>- la selección de instrumentos y materiales a usar de acuerdo a las variables presentes en el estudio.</w:t>
              <w:br/>
              <w:t>- La manipulación de una variable.</w:t>
              <w:br/>
              <w:t>- La explicación clara de procedimientos posibles de replicar. (OA d)</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Comportamiento de los gases y líquidos en situaciones cotidianas y la incidencia del calor, la temperatura y la presión en estos.</w:t>
            </w:r>
          </w:p>
          <w:p>
            <w:pPr>
              <w:pStyle w:val="ListBullet"/>
              <w:spacing w:after="20"/>
              <w:ind w:left="198" w:hanging="170"/>
            </w:pPr>
            <w:r>
              <w:rPr>
                <w:b w:val="0"/>
                <w:i w:val="0"/>
                <w:sz w:val="15"/>
              </w:rPr>
              <w:t>Leyes del comportamiento de los gases ideales (Boyle, Charles, Gay-Lussac, ley de los gases ideales).</w:t>
            </w:r>
          </w:p>
          <w:p>
            <w:pPr>
              <w:pStyle w:val="ListBullet"/>
              <w:spacing w:after="20"/>
              <w:ind w:left="198" w:hanging="170"/>
            </w:pPr>
            <w:r>
              <w:rPr>
                <w:b w:val="0"/>
                <w:i w:val="0"/>
                <w:sz w:val="15"/>
              </w:rPr>
              <w:t>Sustancias puras y mezclas en sólidos, líquidos y gases del entorno.</w:t>
            </w:r>
          </w:p>
          <w:p>
            <w:pPr>
              <w:pStyle w:val="ListBullet"/>
              <w:spacing w:after="20"/>
              <w:ind w:left="198" w:hanging="170"/>
            </w:pPr>
            <w:r>
              <w:rPr>
                <w:b w:val="0"/>
                <w:i w:val="0"/>
                <w:sz w:val="15"/>
              </w:rPr>
              <w:t>Mezclas homogéneas y mezclas heterogéneas.</w:t>
            </w:r>
          </w:p>
          <w:p>
            <w:pPr>
              <w:pStyle w:val="ListBullet"/>
              <w:spacing w:after="20"/>
              <w:ind w:left="198" w:hanging="170"/>
            </w:pPr>
            <w:r>
              <w:rPr>
                <w:b w:val="0"/>
                <w:i w:val="0"/>
                <w:sz w:val="15"/>
              </w:rPr>
              <w:t>Constituyentes de las mezclas como combinaciones de diversas sustancias.</w:t>
            </w:r>
          </w:p>
          <w:p>
            <w:pPr>
              <w:pStyle w:val="ListBullet"/>
              <w:spacing w:after="20"/>
              <w:ind w:left="198" w:hanging="170"/>
            </w:pPr>
            <w:r>
              <w:rPr>
                <w:b w:val="0"/>
                <w:i w:val="0"/>
                <w:sz w:val="15"/>
              </w:rPr>
              <w:t>Propiedades de las sustancias puras y mezclas, como su estado físico y densidad.</w:t>
            </w:r>
          </w:p>
          <w:p>
            <w:pPr>
              <w:pStyle w:val="ListBullet"/>
              <w:spacing w:after="20"/>
              <w:ind w:left="198" w:hanging="170"/>
            </w:pPr>
            <w:r>
              <w:rPr>
                <w:b w:val="0"/>
                <w:i w:val="0"/>
                <w:sz w:val="15"/>
              </w:rPr>
              <w:t>Procedimientos de separación de mezclas de uso cotidiano: decantación, filtración, tamizado y destilación.</w:t>
            </w:r>
          </w:p>
          <w:p>
            <w:pPr>
              <w:pStyle w:val="ListBullet"/>
              <w:spacing w:after="20"/>
              <w:ind w:left="198" w:hanging="170"/>
            </w:pPr>
            <w:r>
              <w:rPr>
                <w:b w:val="0"/>
                <w:i w:val="0"/>
                <w:sz w:val="15"/>
              </w:rPr>
              <w:t>Procedimientos industriales de decantación, filtración, tamizado y destilación de los productos resultantes aplicados, por ejemplo, en la metalurgia, en las plantas de tratamiento de aguas servidas o en los efluentes industriales, entre otros.</w:t>
            </w:r>
          </w:p>
          <w:p>
            <w:pPr>
              <w:pStyle w:val="ListBullet"/>
              <w:spacing w:after="20"/>
              <w:ind w:left="198" w:hanging="170"/>
            </w:pPr>
            <w:r>
              <w:rPr>
                <w:b w:val="0"/>
                <w:i w:val="0"/>
                <w:sz w:val="15"/>
              </w:rPr>
              <w:t>Reacciones químicas comunes presentes en el entorno: ácido-base, oxidación, combustión e importancia del oxígeno en estas reacciones.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Fluidos compresibles, fluidos incompresibles, gases, líquidos, gases ideales, sustancia pura, mezcla, mezcla homogénea, mezcla heterogénea, decantación, filtración, tamizado, destilación, cambio reversible, cambio irreversible, cambio físico y cambio químico.</w:t>
            </w:r>
          </w:p>
        </w:tc>
        <w:tc>
          <w:tcPr>
            <w:tcW w:type="dxa" w:w="3175"/>
          </w:tcPr>
          <w:p>
            <w:r/>
            <w:r>
              <w:rPr>
                <w:b/>
                <w:i w:val="0"/>
                <w:sz w:val="15"/>
              </w:rPr>
              <w:t>Sugerencia de evaluación 1 (OA 13) · pág. 122</w:t>
            </w:r>
          </w:p>
          <w:p>
            <w:pPr>
              <w:pStyle w:val="ListBullet"/>
              <w:spacing w:after="20"/>
              <w:ind w:left="198" w:hanging="170"/>
            </w:pPr>
            <w:r>
              <w:rPr>
                <w:b w:val="0"/>
                <w:i w:val="0"/>
                <w:sz w:val="15"/>
              </w:rPr>
              <w:t>Describen las magnitudes de presión, volumen y temperatura de gases del entorno.</w:t>
            </w:r>
          </w:p>
          <w:p>
            <w:pPr>
              <w:pStyle w:val="ListBullet"/>
              <w:spacing w:after="20"/>
              <w:ind w:left="198" w:hanging="170"/>
            </w:pPr>
            <w:r>
              <w:rPr>
                <w:b w:val="0"/>
                <w:i w:val="0"/>
                <w:sz w:val="15"/>
              </w:rPr>
              <w:t>Describen la compresibilidad de gases, líquidos y sólidos.</w:t>
            </w:r>
          </w:p>
          <w:p>
            <w:pPr>
              <w:pStyle w:val="ListBullet"/>
              <w:spacing w:after="20"/>
              <w:ind w:left="198" w:hanging="170"/>
            </w:pPr>
            <w:r>
              <w:rPr>
                <w:b w:val="0"/>
                <w:i w:val="0"/>
                <w:sz w:val="15"/>
              </w:rPr>
              <w:t>Identifican las leyes de los gases ideales (Boyle, Gay-Lussac, Charles).</w:t>
            </w:r>
          </w:p>
          <w:p>
            <w:pPr>
              <w:pStyle w:val="ListBullet"/>
              <w:spacing w:after="20"/>
              <w:ind w:left="198" w:hanging="170"/>
            </w:pPr>
            <w:r>
              <w:rPr>
                <w:b w:val="0"/>
                <w:i w:val="0"/>
                <w:sz w:val="15"/>
              </w:rPr>
              <w:t>Organizan datos cualitativos y cuantitativos según la necesidad de una investigación, como tablas o bitácoras, entre otros.</w:t>
            </w:r>
          </w:p>
          <w:p>
            <w:pPr>
              <w:pStyle w:val="ListBullet"/>
              <w:spacing w:after="20"/>
              <w:ind w:left="198" w:hanging="170"/>
            </w:pPr>
            <w:r>
              <w:rPr>
                <w:b w:val="0"/>
                <w:i w:val="0"/>
                <w:sz w:val="15"/>
              </w:rPr>
              <w:t>Utilizan modelos para apoyar explicaciones de conocimientos científicos.</w:t>
            </w:r>
          </w:p>
          <w:p>
            <w:r>
              <w:rPr>
                <w:b/>
                <w:i w:val="0"/>
                <w:sz w:val="15"/>
              </w:rPr>
              <w:t>Sugerencia de evaluación 2 (OA 14) · pág. 124</w:t>
            </w:r>
          </w:p>
          <w:p>
            <w:pPr>
              <w:pStyle w:val="ListBullet"/>
              <w:spacing w:after="20"/>
              <w:ind w:left="198" w:hanging="170"/>
            </w:pPr>
            <w:r>
              <w:rPr>
                <w:b w:val="0"/>
                <w:i w:val="0"/>
                <w:sz w:val="15"/>
              </w:rPr>
              <w:t>Explican sustancias puras (elemento y compuesto) y mezclas (homogéneas y heterogéneas) mediante su comportamiento y características.</w:t>
            </w:r>
          </w:p>
          <w:p>
            <w:pPr>
              <w:pStyle w:val="ListBullet"/>
              <w:spacing w:after="20"/>
              <w:ind w:left="198" w:hanging="170"/>
            </w:pPr>
            <w:r>
              <w:rPr>
                <w:b w:val="0"/>
                <w:i w:val="0"/>
                <w:sz w:val="15"/>
              </w:rPr>
              <w:t>Formulan inferencias e interpretaciones consistentes con el comportamiento de una variable en estudio.</w:t>
            </w:r>
          </w:p>
          <w:p>
            <w:r>
              <w:rPr>
                <w:b/>
                <w:i w:val="0"/>
                <w:sz w:val="15"/>
              </w:rPr>
              <w:t>Sugerencia de evaluación 3 (OA 15) · pág. 126</w:t>
            </w:r>
          </w:p>
          <w:p>
            <w:pPr>
              <w:pStyle w:val="ListBullet"/>
              <w:spacing w:after="20"/>
              <w:ind w:left="198" w:hanging="170"/>
            </w:pPr>
            <w:r>
              <w:rPr>
                <w:b w:val="0"/>
                <w:i w:val="0"/>
                <w:sz w:val="15"/>
              </w:rPr>
              <w:t>Explican los cambios físicos y químicos de la materia con sus características y reversibilidad.</w:t>
            </w:r>
          </w:p>
          <w:p>
            <w:pPr>
              <w:pStyle w:val="ListBullet"/>
              <w:spacing w:after="20"/>
              <w:ind w:left="198" w:hanging="170"/>
            </w:pPr>
            <w:r>
              <w:rPr>
                <w:b w:val="0"/>
                <w:i w:val="0"/>
                <w:sz w:val="15"/>
              </w:rPr>
              <w:t>Caracterizan cambios físicos y químicos de la materia por medio de cambios del entorno.</w:t>
            </w:r>
          </w:p>
          <w:p>
            <w:pPr>
              <w:pStyle w:val="ListBullet"/>
              <w:spacing w:after="20"/>
              <w:ind w:left="198" w:hanging="170"/>
            </w:pPr>
            <w:r>
              <w:rPr>
                <w:b w:val="0"/>
                <w:i w:val="0"/>
                <w:sz w:val="15"/>
              </w:rPr>
              <w:t>Investigan de forma experimental los cambios de la materia.</w:t>
            </w:r>
          </w:p>
          <w:p>
            <w:pPr>
              <w:pStyle w:val="ListBullet"/>
              <w:spacing w:after="20"/>
              <w:ind w:left="198" w:hanging="170"/>
            </w:pPr>
            <w:r>
              <w:rPr>
                <w:b w:val="0"/>
                <w:i w:val="0"/>
                <w:sz w:val="15"/>
              </w:rPr>
              <w:t>Argumentan los cambios físicos y químicos de procesos industriales o energéticos del contexto nacional o cotidiano.</w:t>
            </w:r>
          </w:p>
          <w:p>
            <w:pPr>
              <w:pStyle w:val="ListBullet"/>
              <w:spacing w:after="20"/>
              <w:ind w:left="198" w:hanging="170"/>
            </w:pPr>
            <w:r>
              <w:rPr>
                <w:b w:val="0"/>
                <w:i w:val="0"/>
                <w:sz w:val="15"/>
              </w:rPr>
              <w:t>Ejecutan una investigación científica respetando los roles, funciones y responsabilidades individuales y colectivas de los integrantes del equipo.</w:t>
            </w:r>
          </w:p>
          <w:p>
            <w:pPr>
              <w:pStyle w:val="ListBullet"/>
              <w:spacing w:after="20"/>
              <w:ind w:left="198" w:hanging="170"/>
            </w:pPr>
            <w:r>
              <w:rPr>
                <w:b w:val="0"/>
                <w:i w:val="0"/>
                <w:sz w:val="15"/>
              </w:rPr>
              <w:t>Utilizan lenguaje científico para describir un objeto, proceso o fenómeno natural o tecnológico.</w:t>
            </w:r>
          </w:p>
          <w:p>
            <w:r>
              <w:rPr>
                <w:b/>
                <w:i w:val="0"/>
                <w:sz w:val="15"/>
              </w:rPr>
              <w:t>Sugerencia de evaluación 4 (OA 13) · pág. 128</w:t>
            </w:r>
          </w:p>
          <w:p>
            <w:pPr>
              <w:pStyle w:val="ListBullet"/>
              <w:spacing w:after="20"/>
              <w:ind w:left="198" w:hanging="170"/>
            </w:pPr>
            <w:r>
              <w:rPr>
                <w:b w:val="0"/>
                <w:i w:val="0"/>
                <w:sz w:val="15"/>
              </w:rPr>
              <w:t>Describen las magnitudes de presión, volumen y temperatura de gases del entorno.</w:t>
            </w:r>
          </w:p>
          <w:p>
            <w:pPr>
              <w:pStyle w:val="ListBullet"/>
              <w:spacing w:after="20"/>
              <w:ind w:left="198" w:hanging="170"/>
            </w:pPr>
            <w:r>
              <w:rPr>
                <w:b w:val="0"/>
                <w:i w:val="0"/>
                <w:sz w:val="15"/>
              </w:rPr>
              <w:t>Describen la compresibilidad de gases, líquidos y sólidos.</w:t>
            </w:r>
          </w:p>
          <w:p>
            <w:pPr>
              <w:pStyle w:val="ListBullet"/>
              <w:spacing w:after="20"/>
              <w:ind w:left="198" w:hanging="170"/>
            </w:pPr>
            <w:r>
              <w:rPr>
                <w:b w:val="0"/>
                <w:i w:val="0"/>
                <w:sz w:val="15"/>
              </w:rPr>
              <w:t>Utilizan modelos para apoyar explicaciones de conocimientos científicos.</w:t>
            </w:r>
          </w:p>
          <w:p>
            <w:pPr>
              <w:pStyle w:val="ListBullet"/>
              <w:spacing w:after="20"/>
              <w:ind w:left="198" w:hanging="170"/>
            </w:pPr>
            <w:r>
              <w:rPr>
                <w:b w:val="0"/>
                <w:i w:val="0"/>
                <w:sz w:val="15"/>
              </w:rPr>
              <w:t>Utilizan lenguaje científico para describir un objeto, proceso o fenómeno natural o tecnológico.</w:t>
            </w:r>
          </w:p>
        </w:tc>
        <w:tc>
          <w:tcPr>
            <w:tcW w:type="dxa" w:w="1474"/>
          </w:tcPr>
          <w:p>
            <w:r/>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preguntas y una observación guiada sobre estados de la materia y mezclas cotidianas, para conocer las ideas previas del curso.</w:t>
            </w:r>
          </w:p>
          <w:p>
            <w:r>
              <w:rPr>
                <w:b/>
                <w:i w:val="0"/>
                <w:sz w:val="15"/>
              </w:rPr>
              <w:t xml:space="preserve">Formativa. </w:t>
            </w:r>
            <w:r>
              <w:rPr>
                <w:b/>
                <w:i/>
                <w:color w:val="595959"/>
                <w:sz w:val="15"/>
              </w:rPr>
              <w:t xml:space="preserve">Sugerencia — revisar: </w:t>
            </w:r>
            <w:r>
              <w:rPr>
                <w:b w:val="0"/>
                <w:i/>
                <w:color w:val="595959"/>
                <w:sz w:val="15"/>
              </w:rPr>
              <w:t>Revisión de hipótesis y registros de laboratorio con pauta; preguntas de cierre sobre el modelo cinético-molecular.</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En la costa de Arica, Paula, que es un buzo profesional, se ha sumergido con un globo, para saber qué cambios se generan en él por efecto de la presión que ejerce el peso de agua sobre un cuerpo. (pág. 122)</w:t>
            </w:r>
          </w:p>
          <w:p>
            <w:pPr>
              <w:pStyle w:val="ListBullet"/>
              <w:spacing w:after="20"/>
              <w:ind w:left="198" w:hanging="170"/>
            </w:pPr>
            <w:r>
              <w:rPr>
                <w:b/>
                <w:i w:val="0"/>
                <w:sz w:val="15"/>
              </w:rPr>
              <w:t xml:space="preserve">Sugerencia de evaluación 2: </w:t>
            </w:r>
            <w:r>
              <w:rPr>
                <w:b w:val="0"/>
                <w:i w:val="0"/>
                <w:sz w:val="15"/>
              </w:rPr>
              <w:t>Se dispone de dos vasos que contienen un líquido transparente. (pág. 124)</w:t>
            </w:r>
          </w:p>
          <w:p>
            <w:pPr>
              <w:pStyle w:val="ListBullet"/>
              <w:spacing w:after="20"/>
              <w:ind w:left="198" w:hanging="170"/>
            </w:pPr>
            <w:r>
              <w:rPr>
                <w:b/>
                <w:i w:val="0"/>
                <w:sz w:val="15"/>
              </w:rPr>
              <w:t xml:space="preserve">Sugerencia de evaluación 3: </w:t>
            </w:r>
            <w:r>
              <w:rPr>
                <w:b w:val="0"/>
                <w:i w:val="0"/>
                <w:sz w:val="15"/>
              </w:rPr>
              <w:t>La formación de burbujas a menudo es una evidencia de un cambio. (pág. 126)</w:t>
            </w:r>
          </w:p>
          <w:p>
            <w:pPr>
              <w:pStyle w:val="ListBullet"/>
              <w:spacing w:after="20"/>
              <w:ind w:left="198" w:hanging="170"/>
            </w:pPr>
            <w:r>
              <w:rPr>
                <w:b/>
                <w:i w:val="0"/>
                <w:sz w:val="15"/>
              </w:rPr>
              <w:t xml:space="preserve">Sugerencia de evaluación 4: </w:t>
            </w:r>
            <w:r>
              <w:rPr>
                <w:b w:val="0"/>
                <w:i w:val="0"/>
                <w:sz w:val="15"/>
              </w:rPr>
              <w:t>a. Analice las siguientes situaciones y prediga, basándose en sus conocimientos, qué sucederá en cada caso. (pág. 128)</w:t>
            </w:r>
          </w:p>
        </w:tc>
        <w:tc>
          <w:tcPr>
            <w:tcW w:type="dxa" w:w="1247"/>
          </w:tcPr>
          <w:p>
            <w:r/>
            <w:r>
              <w:rPr>
                <w:b/>
                <w:i/>
                <w:color w:val="595959"/>
                <w:sz w:val="15"/>
              </w:rPr>
              <w:t xml:space="preserve">Sugerencia — revisar: </w:t>
            </w:r>
            <w:r>
              <w:rPr>
                <w:b w:val="0"/>
                <w:i/>
                <w:color w:val="595959"/>
                <w:sz w:val="15"/>
              </w:rPr>
              <w:t>Jeringas, globos y termómetros para gases; materiales caseros para mezclas y técnicas de separación; simulaciones PhET.</w:t>
            </w:r>
          </w:p>
        </w:tc>
      </w:tr>
      <w:tr>
        <w:tc>
          <w:tcPr>
            <w:tcW w:type="dxa" w:w="1757"/>
          </w:tcPr>
          <w:p>
            <w:r/>
            <w:r>
              <w:rPr>
                <w:b/>
                <w:i w:val="0"/>
                <w:sz w:val="16"/>
              </w:rPr>
              <w:t>Unidad 2</w:t>
            </w:r>
          </w:p>
          <w:p>
            <w:r>
              <w:rPr>
                <w:b/>
                <w:i w:val="0"/>
                <w:sz w:val="16"/>
              </w:rPr>
              <w:t>Fuerza y ciencias de la Tierra</w:t>
            </w:r>
          </w:p>
          <w:p>
            <w:r>
              <w:rPr>
                <w:b w:val="0"/>
                <w:i w:val="0"/>
                <w:sz w:val="15"/>
              </w:rPr>
              <w:t>Se espera que las y los estudiantes conozcan las características de fuerzas como el peso, el roce y la elástica; que sean capaces de predecir los efectos de una o más fuerzas que actúan sobre un objeto, como la deformación y el cambio de movimiento.</w:t>
            </w:r>
          </w:p>
          <w:p>
            <w:r>
              <w:rPr>
                <w:b w:val="0"/>
                <w:i w:val="0"/>
                <w:color w:val="595959"/>
                <w:sz w:val="14"/>
              </w:rPr>
              <w:t>Programa, págs. 130–205</w:t>
            </w:r>
          </w:p>
        </w:tc>
        <w:tc>
          <w:tcPr>
            <w:tcW w:type="dxa" w:w="1134"/>
          </w:tcPr>
          <w:p>
            <w:r/>
            <w:r>
              <w:rPr>
                <w:b/>
                <w:i w:val="0"/>
                <w:sz w:val="15"/>
              </w:rPr>
              <w:t>Semestre 1</w:t>
            </w:r>
          </w:p>
          <w:p>
            <w:r>
              <w:rPr>
                <w:b w:val="0"/>
                <w:i w:val="0"/>
                <w:sz w:val="15"/>
              </w:rPr>
              <w:t>39 h pedagógicas</w:t>
            </w:r>
          </w:p>
          <w:p>
            <w:r>
              <w:rPr>
                <w:b w:val="0"/>
                <w:i w:val="0"/>
                <w:color w:val="595959"/>
                <w:sz w:val="15"/>
              </w:rPr>
              <w:t>Semanas 10 a 19</w:t>
            </w:r>
          </w:p>
        </w:tc>
        <w:tc>
          <w:tcPr>
            <w:tcW w:type="dxa" w:w="1134"/>
          </w:tcPr>
          <w:p>
            <w:r/>
            <w:r>
              <w:rPr>
                <w:b/>
                <w:i w:val="0"/>
                <w:sz w:val="15"/>
              </w:rPr>
              <w:t>OA 7, OA 8, OA 9, OA 10, OA 11, OA 12</w:t>
            </w:r>
          </w:p>
          <w:p>
            <w:r>
              <w:rPr>
                <w:b w:val="0"/>
                <w:i w:val="0"/>
                <w:color w:val="595959"/>
                <w:sz w:val="14"/>
              </w:rPr>
              <w:t>(texto en Anexo G)</w:t>
            </w:r>
          </w:p>
          <w:p>
            <w:r>
              <w:rPr>
                <w:b w:val="0"/>
                <w:i w:val="0"/>
                <w:sz w:val="14"/>
              </w:rPr>
              <w:t>Evaluados en los ejemplos del Programa:</w:t>
            </w:r>
          </w:p>
          <w:p>
            <w:r>
              <w:rPr>
                <w:b/>
                <w:i w:val="0"/>
                <w:sz w:val="15"/>
              </w:rPr>
              <w:t>OA 7, OA 8, OA 11</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Formular y fundamentar predicciones basadas en conocimiento científico. (OA c)</w:t>
            </w:r>
          </w:p>
          <w:p>
            <w:pPr>
              <w:pStyle w:val="ListBullet"/>
              <w:spacing w:after="20"/>
              <w:ind w:left="198" w:hanging="170"/>
            </w:pPr>
            <w:r>
              <w:rPr>
                <w:b w:val="0"/>
                <w:i w:val="0"/>
                <w:sz w:val="15"/>
              </w:rPr>
              <w:t>Planificar una investigación experimental sobre la base de una pregunta y/o problema y diversas fuentes de información científica, considerando:</w:t>
              <w:br/>
              <w:t>- la selección de instrumentos y materiales a usar de acuerdo a las variables presentes en el estudio.</w:t>
              <w:br/>
              <w:t>- La manipulación de una variable.</w:t>
              <w:br/>
              <w:t>- La explicación clara de procedimientos posibles de replicar. (OA d)</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Características de fuerzas como: la gravitacional, la de roce, la elástica.</w:t>
            </w:r>
          </w:p>
          <w:p>
            <w:pPr>
              <w:pStyle w:val="ListBullet"/>
              <w:spacing w:after="20"/>
              <w:ind w:left="198" w:hanging="170"/>
            </w:pPr>
            <w:r>
              <w:rPr>
                <w:b w:val="0"/>
                <w:i w:val="0"/>
                <w:sz w:val="15"/>
              </w:rPr>
              <w:t>Efectos de una o más fuerzas sobre un objeto.</w:t>
            </w:r>
          </w:p>
          <w:p>
            <w:pPr>
              <w:pStyle w:val="ListBullet"/>
              <w:spacing w:after="20"/>
              <w:ind w:left="198" w:hanging="170"/>
            </w:pPr>
            <w:r>
              <w:rPr>
                <w:b w:val="0"/>
                <w:i w:val="0"/>
                <w:sz w:val="15"/>
              </w:rPr>
              <w:t>Fuerza de roce en distintas situaciones: entre sólidos, entre sólidos y líquidos, y entre sólidos y gases.</w:t>
            </w:r>
          </w:p>
          <w:p>
            <w:pPr>
              <w:pStyle w:val="ListBullet"/>
              <w:spacing w:after="20"/>
              <w:ind w:left="198" w:hanging="170"/>
            </w:pPr>
            <w:r>
              <w:rPr>
                <w:b w:val="0"/>
                <w:i w:val="0"/>
                <w:sz w:val="15"/>
              </w:rPr>
              <w:t>Presión en sólidos, líquidos y gases.</w:t>
            </w:r>
          </w:p>
          <w:p>
            <w:pPr>
              <w:pStyle w:val="ListBullet"/>
              <w:spacing w:after="20"/>
              <w:ind w:left="198" w:hanging="170"/>
            </w:pPr>
            <w:r>
              <w:rPr>
                <w:b w:val="0"/>
                <w:i w:val="0"/>
                <w:sz w:val="15"/>
              </w:rPr>
              <w:t>Tectónica de placas: cómo se origina y cómo se manifiesta.</w:t>
            </w:r>
          </w:p>
          <w:p>
            <w:pPr>
              <w:pStyle w:val="ListBullet"/>
              <w:spacing w:after="20"/>
              <w:ind w:left="198" w:hanging="170"/>
            </w:pPr>
            <w:r>
              <w:rPr>
                <w:b w:val="0"/>
                <w:i w:val="0"/>
                <w:sz w:val="15"/>
              </w:rPr>
              <w:t>Consecuencias de la tectónica de placas.</w:t>
            </w:r>
          </w:p>
          <w:p>
            <w:pPr>
              <w:pStyle w:val="ListBullet"/>
              <w:spacing w:after="20"/>
              <w:ind w:left="198" w:hanging="170"/>
            </w:pPr>
            <w:r>
              <w:rPr>
                <w:b w:val="0"/>
                <w:i w:val="0"/>
                <w:sz w:val="15"/>
              </w:rPr>
              <w:t>Teoría de la deriva continental.</w:t>
            </w:r>
          </w:p>
          <w:p>
            <w:pPr>
              <w:pStyle w:val="ListBullet"/>
              <w:spacing w:after="20"/>
              <w:ind w:left="198" w:hanging="170"/>
            </w:pPr>
            <w:r>
              <w:rPr>
                <w:b w:val="0"/>
                <w:i w:val="0"/>
                <w:sz w:val="15"/>
              </w:rPr>
              <w:t>Descripción de un volcán y su actividad.</w:t>
            </w:r>
          </w:p>
          <w:p>
            <w:pPr>
              <w:pStyle w:val="ListBullet"/>
              <w:spacing w:after="20"/>
              <w:ind w:left="198" w:hanging="170"/>
            </w:pPr>
            <w:r>
              <w:rPr>
                <w:b w:val="0"/>
                <w:i w:val="0"/>
                <w:sz w:val="15"/>
              </w:rPr>
              <w:t>Volcanes en Chile.</w:t>
            </w:r>
          </w:p>
          <w:p>
            <w:pPr>
              <w:pStyle w:val="ListBullet"/>
              <w:spacing w:after="20"/>
              <w:ind w:left="198" w:hanging="170"/>
            </w:pPr>
            <w:r>
              <w:rPr>
                <w:b w:val="0"/>
                <w:i w:val="0"/>
                <w:sz w:val="15"/>
              </w:rPr>
              <w:t>Tipos de rocas: ígneas, metamórficas y sedimentarias.</w:t>
            </w:r>
          </w:p>
          <w:p>
            <w:pPr>
              <w:pStyle w:val="ListBullet"/>
              <w:spacing w:after="20"/>
              <w:ind w:left="198" w:hanging="170"/>
            </w:pPr>
            <w:r>
              <w:rPr>
                <w:b w:val="0"/>
                <w:i w:val="0"/>
                <w:sz w:val="15"/>
              </w:rPr>
              <w:t>Ciclo de las rocas.</w:t>
            </w:r>
          </w:p>
          <w:p>
            <w:pPr>
              <w:pStyle w:val="ListBullet"/>
              <w:spacing w:after="20"/>
              <w:ind w:left="198" w:hanging="170"/>
            </w:pPr>
            <w:r>
              <w:rPr>
                <w:b w:val="0"/>
                <w:i w:val="0"/>
                <w:sz w:val="15"/>
              </w:rPr>
              <w:t>Conceptos de clima y tiempo atmosférico.</w:t>
            </w:r>
          </w:p>
          <w:p>
            <w:pPr>
              <w:pStyle w:val="ListBullet"/>
              <w:spacing w:after="20"/>
              <w:ind w:left="198" w:hanging="170"/>
            </w:pPr>
            <w:r>
              <w:rPr>
                <w:b w:val="0"/>
                <w:i w:val="0"/>
                <w:sz w:val="15"/>
              </w:rPr>
              <w:t>Variables climáticas.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Fuerza, peso, fuerza gravitacional, fuerza de roce, fuerza elástica, ley de Hooke, presión, barómetro, presión sanguínea, presión hidrostática, presión atmosférica, fuerza de empuje, tectónica de placas, interacciones convergente, divergente y transformante, deriva continental, volcán, roca, rocas ígneas, rocas metamórficas, rocas sedimentarias, clima, tiempo atmosférico.</w:t>
            </w:r>
          </w:p>
        </w:tc>
        <w:tc>
          <w:tcPr>
            <w:tcW w:type="dxa" w:w="3175"/>
          </w:tcPr>
          <w:p>
            <w:r/>
            <w:r>
              <w:rPr>
                <w:b/>
                <w:i w:val="0"/>
                <w:sz w:val="15"/>
              </w:rPr>
              <w:t>Sugerencia de evaluación 1 (OA 7) · pág. 199</w:t>
            </w:r>
          </w:p>
          <w:p>
            <w:pPr>
              <w:pStyle w:val="ListBullet"/>
              <w:spacing w:after="20"/>
              <w:ind w:left="198" w:hanging="170"/>
            </w:pPr>
            <w:r>
              <w:rPr>
                <w:b w:val="0"/>
                <w:i w:val="0"/>
                <w:sz w:val="15"/>
              </w:rPr>
              <w:t>Explican los efectos de las fuerzas en resortes y elásticos.</w:t>
            </w:r>
          </w:p>
          <w:p>
            <w:pPr>
              <w:pStyle w:val="ListBullet"/>
              <w:spacing w:after="20"/>
              <w:ind w:left="198" w:hanging="170"/>
            </w:pPr>
            <w:r>
              <w:rPr>
                <w:b w:val="0"/>
                <w:i w:val="0"/>
                <w:sz w:val="15"/>
              </w:rPr>
              <w:t>Aplican la ley de Hooke a situaciones cotidianas.</w:t>
            </w:r>
          </w:p>
          <w:p>
            <w:pPr>
              <w:pStyle w:val="ListBullet"/>
              <w:spacing w:after="20"/>
              <w:ind w:left="198" w:hanging="170"/>
            </w:pPr>
            <w:r>
              <w:rPr>
                <w:b w:val="0"/>
                <w:i w:val="0"/>
                <w:sz w:val="15"/>
              </w:rPr>
              <w:t>Identifican instrumentos y materiales necesarios para realizar una investigación científica.</w:t>
            </w:r>
          </w:p>
          <w:p>
            <w:pPr>
              <w:pStyle w:val="ListBullet"/>
              <w:spacing w:after="20"/>
              <w:ind w:left="198" w:hanging="170"/>
            </w:pPr>
            <w:r>
              <w:rPr>
                <w:b w:val="0"/>
                <w:i w:val="0"/>
                <w:sz w:val="15"/>
              </w:rPr>
              <w:t>Utilizan modelos para apoyar explicaciones de conocimientos científicos.</w:t>
            </w:r>
          </w:p>
          <w:p>
            <w:r>
              <w:rPr>
                <w:b/>
                <w:i w:val="0"/>
                <w:sz w:val="15"/>
              </w:rPr>
              <w:t>Sugerencia de evaluación 2 (OA 8) · pág. 201</w:t>
            </w:r>
          </w:p>
          <w:p>
            <w:pPr>
              <w:pStyle w:val="ListBullet"/>
              <w:spacing w:after="20"/>
              <w:ind w:left="198" w:hanging="170"/>
            </w:pPr>
            <w:r>
              <w:rPr>
                <w:b w:val="0"/>
                <w:i w:val="0"/>
                <w:sz w:val="15"/>
              </w:rPr>
              <w:t>Explican el concepto de presión entre sólidos en función de la fuerza y el área de contacto entre ellos.</w:t>
            </w:r>
          </w:p>
          <w:p>
            <w:pPr>
              <w:pStyle w:val="ListBullet"/>
              <w:spacing w:after="20"/>
              <w:ind w:left="198" w:hanging="170"/>
            </w:pPr>
            <w:r>
              <w:rPr>
                <w:b w:val="0"/>
                <w:i w:val="0"/>
                <w:sz w:val="15"/>
              </w:rPr>
              <w:t>Identifican una o más preguntas cuya respuesta puede dar solución a un problema.</w:t>
            </w:r>
          </w:p>
          <w:p>
            <w:pPr>
              <w:pStyle w:val="ListBullet"/>
              <w:spacing w:after="20"/>
              <w:ind w:left="198" w:hanging="170"/>
            </w:pPr>
            <w:r>
              <w:rPr>
                <w:b w:val="0"/>
                <w:i w:val="0"/>
                <w:sz w:val="15"/>
              </w:rPr>
              <w:t>Utilizan modelos para apoyar explicaciones de conocimientos científicos.</w:t>
            </w:r>
          </w:p>
          <w:p>
            <w:pPr>
              <w:pStyle w:val="ListBullet"/>
              <w:spacing w:after="20"/>
              <w:ind w:left="198" w:hanging="170"/>
            </w:pPr>
            <w:r>
              <w:rPr>
                <w:b w:val="0"/>
                <w:i w:val="0"/>
                <w:sz w:val="15"/>
              </w:rPr>
              <w:t>Discuten, oralmente o por escrito, sobre diversas preguntas cuya solución puede obtenerse mediante una investigación científica.</w:t>
            </w:r>
          </w:p>
          <w:p>
            <w:r>
              <w:rPr>
                <w:b/>
                <w:i w:val="0"/>
                <w:sz w:val="15"/>
              </w:rPr>
              <w:t>Sugerencia de evaluación 3 (OA 11) · pág. 203</w:t>
            </w:r>
          </w:p>
          <w:p>
            <w:pPr>
              <w:pStyle w:val="ListBullet"/>
              <w:spacing w:after="20"/>
              <w:ind w:left="198" w:hanging="170"/>
            </w:pPr>
            <w:r>
              <w:rPr>
                <w:b w:val="0"/>
                <w:i w:val="0"/>
                <w:sz w:val="15"/>
              </w:rPr>
              <w:t>Explican la formación y transformación de rocas ígneas, metamórficas y sedimentarias con el modelo del ciclo de las rocas.</w:t>
            </w:r>
          </w:p>
          <w:p>
            <w:pPr>
              <w:pStyle w:val="ListBullet"/>
              <w:spacing w:after="20"/>
              <w:ind w:left="198" w:hanging="170"/>
            </w:pPr>
            <w:r>
              <w:rPr>
                <w:b w:val="0"/>
                <w:i w:val="0"/>
                <w:sz w:val="15"/>
              </w:rPr>
              <w:t>Utilizan modelos para apoyar explicaciones de conocimientos científicos.</w:t>
            </w:r>
          </w:p>
          <w:p>
            <w:pPr>
              <w:pStyle w:val="ListBullet"/>
              <w:spacing w:after="20"/>
              <w:ind w:left="198" w:hanging="170"/>
            </w:pPr>
            <w:r>
              <w:rPr>
                <w:b w:val="0"/>
                <w:i w:val="0"/>
                <w:sz w:val="15"/>
              </w:rPr>
              <w:t>Formulan inferencias e interpretaciones consistentes con el comportamiento de una variable en estudio.</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Bitácora de investigación sobre fuerzas revisada con lista de cotejo; análisis guiado de mapas de placas y sismos.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Disponga de un montaje experimental como el que se indica en la figura siguiente. (pág. 199)</w:t>
            </w:r>
          </w:p>
          <w:p>
            <w:pPr>
              <w:pStyle w:val="ListBullet"/>
              <w:spacing w:after="20"/>
              <w:ind w:left="198" w:hanging="170"/>
            </w:pPr>
            <w:r>
              <w:rPr>
                <w:b/>
                <w:i w:val="0"/>
                <w:sz w:val="15"/>
              </w:rPr>
              <w:t xml:space="preserve">Sugerencia de evaluación 2: </w:t>
            </w:r>
            <w:r>
              <w:rPr>
                <w:b w:val="0"/>
                <w:i w:val="0"/>
                <w:sz w:val="15"/>
              </w:rPr>
              <w:t>Parte 1: Utilizando la V de Gowin, diseñe un procedimiento para determinar la presión que un libro ejerce sobre una mesa cuando está reposando en ella. (pág. 201)</w:t>
            </w:r>
          </w:p>
          <w:p>
            <w:pPr>
              <w:pStyle w:val="ListBullet"/>
              <w:spacing w:after="20"/>
              <w:ind w:left="198" w:hanging="170"/>
            </w:pPr>
            <w:r>
              <w:rPr>
                <w:b/>
                <w:i w:val="0"/>
                <w:sz w:val="15"/>
              </w:rPr>
              <w:t xml:space="preserve">Sugerencia de evaluación 3: </w:t>
            </w:r>
            <w:r>
              <w:rPr>
                <w:b w:val="0"/>
                <w:i w:val="0"/>
                <w:sz w:val="15"/>
              </w:rPr>
              <w:t>Con el apoyo del diagrama simplificado del ciclo de las rocas, responda las preguntas que se indican a continuación. (pág. 203)</w:t>
            </w:r>
          </w:p>
        </w:tc>
        <w:tc>
          <w:tcPr>
            <w:tcW w:type="dxa" w:w="1247"/>
          </w:tcPr>
          <w:p>
            <w:r/>
            <w:r>
              <w:rPr>
                <w:b/>
                <w:i/>
                <w:color w:val="595959"/>
                <w:sz w:val="15"/>
              </w:rPr>
              <w:t xml:space="preserve">Sugerencia — revisar: </w:t>
            </w:r>
            <w:r>
              <w:rPr>
                <w:b w:val="0"/>
                <w:i/>
                <w:color w:val="595959"/>
                <w:sz w:val="15"/>
              </w:rPr>
              <w:t>Dinamómetros, resortes y balanzas; mapas de placas tectónicas y del Cinturón de Fuego del Pacífico; información sobre volcanes de la región o del país y sismos de Chile.</w:t>
            </w:r>
          </w:p>
        </w:tc>
      </w:tr>
      <w:tr>
        <w:tc>
          <w:tcPr>
            <w:tcW w:type="dxa" w:w="1757"/>
          </w:tcPr>
          <w:p>
            <w:r/>
            <w:r>
              <w:rPr>
                <w:b/>
                <w:i w:val="0"/>
                <w:sz w:val="16"/>
              </w:rPr>
              <w:t>Unidad 3</w:t>
            </w:r>
          </w:p>
          <w:p>
            <w:r>
              <w:rPr>
                <w:b/>
                <w:i w:val="0"/>
                <w:sz w:val="16"/>
              </w:rPr>
              <w:t>Microorganismos y barreras defensivas del cuerpo humano</w:t>
            </w:r>
          </w:p>
          <w:p>
            <w:r>
              <w:rPr>
                <w:b w:val="0"/>
                <w:i w:val="0"/>
                <w:sz w:val="15"/>
              </w:rPr>
              <w:t>Se espera que las y los estudiantes puedan describir, utilizando modelos, algunas características de células eucariontes y procariontes, y que comprendan que los virus constituyen una organización de moléculas capaz de infectar dichas células.</w:t>
            </w:r>
          </w:p>
          <w:p>
            <w:r>
              <w:rPr>
                <w:b w:val="0"/>
                <w:i w:val="0"/>
                <w:color w:val="595959"/>
                <w:sz w:val="14"/>
              </w:rPr>
              <w:t>Programa, págs. 206–257</w:t>
            </w:r>
          </w:p>
        </w:tc>
        <w:tc>
          <w:tcPr>
            <w:tcW w:type="dxa" w:w="1134"/>
          </w:tcPr>
          <w:p>
            <w:r/>
            <w:r>
              <w:rPr>
                <w:b/>
                <w:i w:val="0"/>
                <w:sz w:val="15"/>
              </w:rPr>
              <w:t>Semestre 2</w:t>
            </w:r>
          </w:p>
          <w:p>
            <w:r>
              <w:rPr>
                <w:b w:val="0"/>
                <w:i w:val="0"/>
                <w:sz w:val="15"/>
              </w:rPr>
              <w:t>27 h pedagógicas</w:t>
            </w:r>
          </w:p>
          <w:p>
            <w:r>
              <w:rPr>
                <w:b w:val="0"/>
                <w:i w:val="0"/>
                <w:color w:val="595959"/>
                <w:sz w:val="15"/>
              </w:rPr>
              <w:t>Semanas 20 a 28</w:t>
            </w:r>
          </w:p>
        </w:tc>
        <w:tc>
          <w:tcPr>
            <w:tcW w:type="dxa" w:w="1134"/>
          </w:tcPr>
          <w:p>
            <w:r/>
            <w:r>
              <w:rPr>
                <w:b/>
                <w:i w:val="0"/>
                <w:sz w:val="15"/>
              </w:rPr>
              <w:t>OA 4, OA 5, OA 6</w:t>
            </w:r>
          </w:p>
          <w:p>
            <w:r>
              <w:rPr>
                <w:b w:val="0"/>
                <w:i w:val="0"/>
                <w:color w:val="595959"/>
                <w:sz w:val="14"/>
              </w:rPr>
              <w:t>(texto en Anexo G)</w:t>
            </w:r>
          </w:p>
          <w:p>
            <w:r>
              <w:rPr>
                <w:b w:val="0"/>
                <w:i w:val="0"/>
                <w:sz w:val="14"/>
              </w:rPr>
              <w:t>Evaluados en los ejemplos del Programa:</w:t>
            </w:r>
          </w:p>
          <w:p>
            <w:r>
              <w:rPr>
                <w:b/>
                <w:i w:val="0"/>
                <w:sz w:val="15"/>
              </w:rPr>
              <w:t>OA 4, OA 5, OA 6</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Formular y fundamentar predicciones basadas en conocimiento científico. (OA c)</w:t>
            </w:r>
          </w:p>
          <w:p>
            <w:pPr>
              <w:pStyle w:val="ListBullet"/>
              <w:spacing w:after="20"/>
              <w:ind w:left="198" w:hanging="170"/>
            </w:pPr>
            <w:r>
              <w:rPr>
                <w:b w:val="0"/>
                <w:i w:val="0"/>
                <w:sz w:val="15"/>
              </w:rPr>
              <w:t>Planificar una investigación experimental sobre la base de una pregunta y/o problema y diversas fuentes de información científica, considerando:</w:t>
              <w:br/>
              <w:t>- la selección de instrumentos y materiales a usar de acuerdo a las variables presentes en el estudio.</w:t>
              <w:br/>
              <w:t>- La manipulación de una variable.</w:t>
              <w:br/>
              <w:t>- La explicación clara de procedimientos posibles de replicar. (OA d)</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Seres vivos y células.</w:t>
            </w:r>
          </w:p>
          <w:p>
            <w:pPr>
              <w:pStyle w:val="ListBullet"/>
              <w:spacing w:after="20"/>
              <w:ind w:left="198" w:hanging="170"/>
            </w:pPr>
            <w:r>
              <w:rPr>
                <w:b w:val="0"/>
                <w:i w:val="0"/>
                <w:sz w:val="15"/>
              </w:rPr>
              <w:t>Células procariontes, hongos y otras células eucariontes y virus.</w:t>
            </w:r>
          </w:p>
          <w:p>
            <w:pPr>
              <w:pStyle w:val="ListBullet"/>
              <w:spacing w:after="20"/>
              <w:ind w:left="198" w:hanging="170"/>
            </w:pPr>
            <w:r>
              <w:rPr>
                <w:b w:val="0"/>
                <w:i w:val="0"/>
                <w:sz w:val="15"/>
              </w:rPr>
              <w:t>Microorganismos como agentes infecciosos o beneficiosos para la salud.</w:t>
            </w:r>
          </w:p>
          <w:p>
            <w:pPr>
              <w:pStyle w:val="ListBullet"/>
              <w:spacing w:after="20"/>
              <w:ind w:left="198" w:hanging="170"/>
            </w:pPr>
            <w:r>
              <w:rPr>
                <w:b w:val="0"/>
                <w:i w:val="0"/>
                <w:sz w:val="15"/>
              </w:rPr>
              <w:t>Usos de microorganismos en beneficio humano.</w:t>
            </w:r>
          </w:p>
          <w:p>
            <w:pPr>
              <w:pStyle w:val="ListBullet"/>
              <w:spacing w:after="20"/>
              <w:ind w:left="198" w:hanging="170"/>
            </w:pPr>
            <w:r>
              <w:rPr>
                <w:b w:val="0"/>
                <w:i w:val="0"/>
                <w:sz w:val="15"/>
              </w:rPr>
              <w:t>Barreras del sistema inmune.</w:t>
            </w:r>
          </w:p>
          <w:p>
            <w:pPr>
              <w:pStyle w:val="ListBullet"/>
              <w:spacing w:after="20"/>
              <w:ind w:left="198" w:hanging="170"/>
            </w:pPr>
            <w:r>
              <w:rPr>
                <w:b w:val="0"/>
                <w:i w:val="0"/>
                <w:sz w:val="15"/>
              </w:rPr>
              <w:t>Vacunas, alergias y enfermedades autoinmunes.</w:t>
            </w:r>
          </w:p>
          <w:p>
            <w:pPr>
              <w:pStyle w:val="ListBullet"/>
              <w:spacing w:after="20"/>
              <w:ind w:left="198" w:hanging="170"/>
            </w:pPr>
            <w:r>
              <w:rPr>
                <w:b w:val="0"/>
                <w:i w:val="0"/>
                <w:sz w:val="15"/>
              </w:rPr>
              <w:t>Trasplantes.</w:t>
            </w:r>
          </w:p>
          <w:p>
            <w:pPr>
              <w:pStyle w:val="ListBullet"/>
              <w:spacing w:after="20"/>
              <w:ind w:left="198" w:hanging="170"/>
            </w:pPr>
            <w:r>
              <w:rPr>
                <w:b w:val="0"/>
                <w:i w:val="0"/>
                <w:sz w:val="15"/>
              </w:rPr>
              <w:t>VIH-SIDA y sistema inmune.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Célula, eucarionte, procarionte, bacteria, hongos, levaduras, moho, membrana, núcleo, nucleoide, pared celular, virus, ácido nucleico (sólo como molécula asociada a información heredable), patógenos, antibióticos, antivirales, biolixiviación, biorremediación, sistema inmune, piel, lágrimas, mucus, cilios, fagocitos, macrófagos, neutrófilos, linfocitos T, linfocitos B, anticuerpos, vacunas, alergias, enfermedades autoinmunes, rechazo a trasplantes, inmunodepresión, inmunosupresión, sida, VIH-SIDA (virus de la inmunodeficiencia humana-síndrome de inmunodeficiencia adquirida).</w:t>
            </w:r>
          </w:p>
        </w:tc>
        <w:tc>
          <w:tcPr>
            <w:tcW w:type="dxa" w:w="3175"/>
          </w:tcPr>
          <w:p>
            <w:r/>
            <w:r>
              <w:rPr>
                <w:b/>
                <w:i w:val="0"/>
                <w:sz w:val="15"/>
              </w:rPr>
              <w:t>Sugerencia de evaluación 1 (OA 4) · pág. 252</w:t>
            </w:r>
          </w:p>
          <w:p>
            <w:pPr>
              <w:pStyle w:val="ListBullet"/>
              <w:spacing w:after="20"/>
              <w:ind w:left="198" w:hanging="170"/>
            </w:pPr>
            <w:r>
              <w:rPr>
                <w:b w:val="0"/>
                <w:i w:val="0"/>
                <w:sz w:val="15"/>
              </w:rPr>
              <w:t>Argumentan los beneficios del uso de vacunas en la población en la protección contra infecciones en base a investigaciones en fuentes confiables.</w:t>
            </w:r>
          </w:p>
          <w:p>
            <w:pPr>
              <w:pStyle w:val="ListBullet"/>
              <w:spacing w:after="20"/>
              <w:ind w:left="198" w:hanging="170"/>
            </w:pPr>
            <w:r>
              <w:rPr>
                <w:b w:val="0"/>
                <w:i w:val="0"/>
                <w:sz w:val="15"/>
              </w:rPr>
              <w:t>Reconocen que una predicción se fundamenta con argumentos científicos y la diferencian de una adivinanza.</w:t>
            </w:r>
          </w:p>
          <w:p>
            <w:pPr>
              <w:pStyle w:val="ListBullet"/>
              <w:spacing w:after="20"/>
              <w:ind w:left="198" w:hanging="170"/>
            </w:pPr>
            <w:r>
              <w:rPr>
                <w:b w:val="0"/>
                <w:i w:val="0"/>
                <w:sz w:val="15"/>
              </w:rPr>
              <w:t>Examinan las evidencias de una investigación relacionándolas con los objetivos de ella.</w:t>
            </w:r>
          </w:p>
          <w:p>
            <w:pPr>
              <w:pStyle w:val="ListBullet"/>
              <w:spacing w:after="20"/>
              <w:ind w:left="198" w:hanging="170"/>
            </w:pPr>
            <w:r>
              <w:rPr>
                <w:b w:val="0"/>
                <w:i w:val="0"/>
                <w:sz w:val="15"/>
              </w:rPr>
              <w:t>Comunican los resultados de una investigación científica señalando las fuentes y autores utilizados en ella.</w:t>
            </w:r>
          </w:p>
          <w:p>
            <w:r>
              <w:rPr>
                <w:b/>
                <w:i w:val="0"/>
                <w:sz w:val="15"/>
              </w:rPr>
              <w:t>Sugerencia de evaluación 2 (OA 5) · pág. 254</w:t>
            </w:r>
          </w:p>
          <w:p>
            <w:pPr>
              <w:pStyle w:val="ListBullet"/>
              <w:spacing w:after="20"/>
              <w:ind w:left="198" w:hanging="170"/>
            </w:pPr>
            <w:r>
              <w:rPr>
                <w:b w:val="0"/>
                <w:i w:val="0"/>
                <w:sz w:val="15"/>
              </w:rPr>
              <w:t>Describen posibles microorganismos patógenos como virus, bacterias y hongos que tienen efectos positivos en la salud humana.</w:t>
            </w:r>
          </w:p>
          <w:p>
            <w:pPr>
              <w:pStyle w:val="ListBullet"/>
              <w:spacing w:after="20"/>
              <w:ind w:left="198" w:hanging="170"/>
            </w:pPr>
            <w:r>
              <w:rPr>
                <w:b w:val="0"/>
                <w:i w:val="0"/>
                <w:sz w:val="15"/>
              </w:rPr>
              <w:t>Comparan células eucariontes con procariontes mediante la observación de presencia de núcleo, tamaños, formas, sistemas de endomembranas y pared celular, entre otras características, en modelos diversos tipos celulares.</w:t>
            </w:r>
          </w:p>
          <w:p>
            <w:pPr>
              <w:pStyle w:val="ListBullet"/>
              <w:spacing w:after="20"/>
              <w:ind w:left="198" w:hanging="170"/>
            </w:pPr>
            <w:r>
              <w:rPr>
                <w:b w:val="0"/>
                <w:i w:val="0"/>
                <w:sz w:val="15"/>
              </w:rPr>
              <w:t>Proponen recomendaciones básicas para la prevención y el tratamiento de infecciones cotidianas causadas por microorganismos como virus, bacterias y hongos con la acción de antivirales, antibióticos y antimicóticos, respectivamente.</w:t>
            </w:r>
          </w:p>
          <w:p>
            <w:pPr>
              <w:pStyle w:val="ListBullet"/>
              <w:spacing w:after="20"/>
              <w:ind w:left="198" w:hanging="170"/>
            </w:pPr>
            <w:r>
              <w:rPr>
                <w:b w:val="0"/>
                <w:i w:val="0"/>
                <w:sz w:val="15"/>
              </w:rPr>
              <w:t>Perciben, con sus sentidos, fenómenos del mundo natural y/o tecnológico.</w:t>
            </w:r>
          </w:p>
          <w:p>
            <w:pPr>
              <w:pStyle w:val="ListBullet"/>
              <w:spacing w:after="20"/>
              <w:ind w:left="198" w:hanging="170"/>
            </w:pPr>
            <w:r>
              <w:rPr>
                <w:b w:val="0"/>
                <w:i w:val="0"/>
                <w:sz w:val="15"/>
              </w:rPr>
              <w:t>Establecen una secuencia precisa de los pasos a desarrollar en una investigación científica.</w:t>
            </w:r>
          </w:p>
          <w:p>
            <w:pPr>
              <w:pStyle w:val="ListBullet"/>
              <w:spacing w:after="20"/>
              <w:ind w:left="198" w:hanging="170"/>
            </w:pPr>
            <w:r>
              <w:rPr>
                <w:b w:val="0"/>
                <w:i w:val="0"/>
                <w:sz w:val="15"/>
              </w:rPr>
              <w:t>Utilizan modelos para apoyar explicaciones de conocimientos científicos.</w:t>
            </w:r>
          </w:p>
          <w:p>
            <w:r>
              <w:rPr>
                <w:b/>
                <w:i w:val="0"/>
                <w:sz w:val="15"/>
              </w:rPr>
              <w:t>Sugerencia de evaluación 3 (OA 6) · pág. 256</w:t>
            </w:r>
          </w:p>
          <w:p>
            <w:pPr>
              <w:pStyle w:val="ListBullet"/>
              <w:spacing w:after="20"/>
              <w:ind w:left="198" w:hanging="170"/>
            </w:pPr>
            <w:r>
              <w:rPr>
                <w:b w:val="0"/>
                <w:i w:val="0"/>
                <w:sz w:val="15"/>
              </w:rPr>
              <w:t>Investigan el rol de los microorganismos en la producción de antibióticos.</w:t>
            </w:r>
          </w:p>
          <w:p>
            <w:pPr>
              <w:pStyle w:val="ListBullet"/>
              <w:spacing w:after="20"/>
              <w:ind w:left="198" w:hanging="170"/>
            </w:pPr>
            <w:r>
              <w:rPr>
                <w:b w:val="0"/>
                <w:i w:val="0"/>
                <w:sz w:val="15"/>
              </w:rPr>
              <w:t>Perciben, con sus sentidos, fenómenos del mundo natural y/o tecnológico.</w:t>
            </w:r>
          </w:p>
          <w:p>
            <w:pPr>
              <w:pStyle w:val="ListBullet"/>
              <w:spacing w:after="20"/>
              <w:ind w:left="198" w:hanging="170"/>
            </w:pPr>
            <w:r>
              <w:rPr>
                <w:b w:val="0"/>
                <w:i w:val="0"/>
                <w:sz w:val="15"/>
              </w:rPr>
              <w:t>Reconocen que una predicción se fundamenta con argumentos científicos y la diferencian de una adivinanza.</w:t>
            </w:r>
          </w:p>
          <w:p>
            <w:pPr>
              <w:pStyle w:val="ListBullet"/>
              <w:spacing w:after="20"/>
              <w:ind w:left="198" w:hanging="170"/>
            </w:pPr>
            <w:r>
              <w:rPr>
                <w:b w:val="0"/>
                <w:i w:val="0"/>
                <w:sz w:val="15"/>
              </w:rPr>
              <w:t>Seleccionan fuentes confiables de información que serán utilizadas en una investigación científica no experimental.</w:t>
            </w:r>
          </w:p>
          <w:p>
            <w:pPr>
              <w:pStyle w:val="ListBullet"/>
              <w:spacing w:after="20"/>
              <w:ind w:left="198" w:hanging="170"/>
            </w:pPr>
            <w:r>
              <w:rPr>
                <w:b w:val="0"/>
                <w:i w:val="0"/>
                <w:sz w:val="15"/>
              </w:rPr>
              <w:t>Comunican los resultados de una investigación científica señalando las fuentes y autores utilizados en ella.</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Modelos de células y microorganismos revisados en clase; preguntas sobre el sistema inmune y las vacunas con retroalimentación.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El siguiente gráfico corresponde al número de casos de una enfermedad infecciosa por cada 100.000 habitantes en el transcurso de cinco años. (pág. 252)</w:t>
            </w:r>
          </w:p>
          <w:p>
            <w:pPr>
              <w:pStyle w:val="ListBullet"/>
              <w:spacing w:after="20"/>
              <w:ind w:left="198" w:hanging="170"/>
            </w:pPr>
            <w:r>
              <w:rPr>
                <w:b/>
                <w:i w:val="0"/>
                <w:sz w:val="15"/>
              </w:rPr>
              <w:t xml:space="preserve">Sugerencia de evaluación 2: </w:t>
            </w:r>
            <w:r>
              <w:rPr>
                <w:b w:val="0"/>
                <w:i w:val="0"/>
                <w:sz w:val="15"/>
              </w:rPr>
              <w:t>Observe las figuras a continuación, responda las preguntas y desarrolle las actividades que aparecen más abajo. (pág. 254)</w:t>
            </w:r>
          </w:p>
          <w:p>
            <w:pPr>
              <w:pStyle w:val="ListBullet"/>
              <w:spacing w:after="20"/>
              <w:ind w:left="198" w:hanging="170"/>
            </w:pPr>
            <w:r>
              <w:rPr>
                <w:b/>
                <w:i w:val="0"/>
                <w:sz w:val="15"/>
              </w:rPr>
              <w:t xml:space="preserve">Sugerencia de evaluación 3: </w:t>
            </w:r>
            <w:r>
              <w:rPr>
                <w:b w:val="0"/>
                <w:i w:val="0"/>
                <w:sz w:val="15"/>
              </w:rPr>
              <w:t>La figura muestra un cultivo de bacterias donde hay cuatro regiones con presencia de hongos (1, 2, 3 y 4). (pág. 256)</w:t>
            </w:r>
          </w:p>
        </w:tc>
        <w:tc>
          <w:tcPr>
            <w:tcW w:type="dxa" w:w="1247"/>
          </w:tcPr>
          <w:p>
            <w:r/>
            <w:r>
              <w:rPr>
                <w:b/>
                <w:i/>
                <w:color w:val="595959"/>
                <w:sz w:val="15"/>
              </w:rPr>
              <w:t xml:space="preserve">Sugerencia — revisar: </w:t>
            </w:r>
            <w:r>
              <w:rPr>
                <w:b w:val="0"/>
                <w:i/>
                <w:color w:val="595959"/>
                <w:sz w:val="15"/>
              </w:rPr>
              <w:t>Microscopio y muestras (levaduras, yogur); modelos y videos sobre microorganismos; información del Ministerio de Salud sobre vacunación.</w:t>
            </w:r>
          </w:p>
        </w:tc>
      </w:tr>
      <w:tr>
        <w:tc>
          <w:tcPr>
            <w:tcW w:type="dxa" w:w="1757"/>
          </w:tcPr>
          <w:p>
            <w:r/>
            <w:r>
              <w:rPr>
                <w:b/>
                <w:i w:val="0"/>
                <w:sz w:val="16"/>
              </w:rPr>
              <w:t>Unidad 4</w:t>
            </w:r>
          </w:p>
          <w:p>
            <w:r>
              <w:rPr>
                <w:b/>
                <w:i w:val="0"/>
                <w:sz w:val="16"/>
              </w:rPr>
              <w:t>Sexualidad y autocuidado</w:t>
            </w:r>
          </w:p>
          <w:p>
            <w:r>
              <w:rPr>
                <w:b w:val="0"/>
                <w:i w:val="0"/>
                <w:sz w:val="15"/>
              </w:rPr>
              <w:t>Se espera que las y los estudiantes entiendan la sexualidad desde una perspectiva integrada, natural y propia de toda mujer y hombre formando parte del desarrollo vital de todas y todos, incluyendo aspectos físicos, biológicos, psicológicos, afectivos y sociales, y comprendan que en el aspecto relacional involucra respeto hacia sí mismos y los demás y que implica responsabilidad frente a situaciones de autocuidado, en temas de salud, tanto como la paternidad y maternidad.</w:t>
            </w:r>
          </w:p>
          <w:p>
            <w:r>
              <w:rPr>
                <w:b w:val="0"/>
                <w:i w:val="0"/>
                <w:color w:val="595959"/>
                <w:sz w:val="14"/>
              </w:rPr>
              <w:t>Programa, págs. 258–286</w:t>
            </w:r>
          </w:p>
        </w:tc>
        <w:tc>
          <w:tcPr>
            <w:tcW w:type="dxa" w:w="1134"/>
          </w:tcPr>
          <w:p>
            <w:r/>
            <w:r>
              <w:rPr>
                <w:b/>
                <w:i w:val="0"/>
                <w:sz w:val="15"/>
              </w:rPr>
              <w:t>Semestre 2</w:t>
            </w:r>
          </w:p>
          <w:p>
            <w:r>
              <w:rPr>
                <w:b w:val="0"/>
                <w:i w:val="0"/>
                <w:sz w:val="15"/>
              </w:rPr>
              <w:t>29 h pedagógicas</w:t>
            </w:r>
          </w:p>
          <w:p>
            <w:r>
              <w:rPr>
                <w:b w:val="0"/>
                <w:i w:val="0"/>
                <w:color w:val="595959"/>
                <w:sz w:val="15"/>
              </w:rPr>
              <w:t>Semanas 29 a 38</w:t>
            </w:r>
          </w:p>
        </w:tc>
        <w:tc>
          <w:tcPr>
            <w:tcW w:type="dxa" w:w="1134"/>
          </w:tcPr>
          <w:p>
            <w:r/>
            <w:r>
              <w:rPr>
                <w:b/>
                <w:i w:val="0"/>
                <w:sz w:val="15"/>
              </w:rPr>
              <w:t>OA 1, OA 2, OA 3</w:t>
            </w:r>
          </w:p>
          <w:p>
            <w:r>
              <w:rPr>
                <w:b w:val="0"/>
                <w:i w:val="0"/>
                <w:color w:val="595959"/>
                <w:sz w:val="14"/>
              </w:rPr>
              <w:t>(texto en Anexo G)</w:t>
            </w:r>
          </w:p>
          <w:p>
            <w:r>
              <w:rPr>
                <w:b w:val="0"/>
                <w:i w:val="0"/>
                <w:sz w:val="14"/>
              </w:rPr>
              <w:t>Evaluados en los ejemplos del Programa:</w:t>
            </w:r>
          </w:p>
          <w:p>
            <w:r>
              <w:rPr>
                <w:b/>
                <w:i w:val="0"/>
                <w:sz w:val="15"/>
              </w:rPr>
              <w:t>OA 2, OA 3</w:t>
            </w:r>
          </w:p>
        </w:tc>
        <w:tc>
          <w:tcPr>
            <w:tcW w:type="dxa" w:w="2438"/>
          </w:tcPr>
          <w:p>
            <w:r/>
            <w:r>
              <w:rPr>
                <w:b/>
                <w:i w:val="0"/>
                <w:sz w:val="15"/>
              </w:rPr>
              <w:t>Habilidades</w:t>
            </w:r>
          </w:p>
          <w:p>
            <w:pPr>
              <w:pStyle w:val="ListBullet"/>
              <w:spacing w:after="20"/>
              <w:ind w:left="198" w:hanging="170"/>
            </w:pPr>
            <w:r>
              <w:rPr>
                <w:b w:val="0"/>
                <w:i w:val="0"/>
                <w:sz w:val="15"/>
              </w:rPr>
              <w:t>Observar y describir objetos, procesos y fenómenos del mundo natural y tecnológico, usando los sentidos. (OA a)</w:t>
            </w:r>
          </w:p>
          <w:p>
            <w:pPr>
              <w:pStyle w:val="ListBullet"/>
              <w:spacing w:after="20"/>
              <w:ind w:left="198" w:hanging="170"/>
            </w:pPr>
            <w:r>
              <w:rPr>
                <w:b w:val="0"/>
                <w:i w:val="0"/>
                <w:sz w:val="15"/>
              </w:rPr>
              <w:t>Identificar preguntas y/o problemas que puedan ser resueltos mediante una investigación científica*. (OA b)</w:t>
            </w:r>
          </w:p>
          <w:p>
            <w:pPr>
              <w:pStyle w:val="ListBullet"/>
              <w:spacing w:after="20"/>
              <w:ind w:left="198" w:hanging="170"/>
            </w:pPr>
            <w:r>
              <w:rPr>
                <w:b w:val="0"/>
                <w:i w:val="0"/>
                <w:sz w:val="15"/>
              </w:rPr>
              <w:t>Planificar una investigación no experimental y/o documental a partir de una pregunta científica y de diversas fuentes de información, e identificar las ideas centrales de un documento. (OA e)</w:t>
            </w:r>
          </w:p>
          <w:p>
            <w:pPr>
              <w:pStyle w:val="ListBullet"/>
              <w:spacing w:after="20"/>
              <w:ind w:left="198" w:hanging="170"/>
            </w:pPr>
            <w:r>
              <w:rPr>
                <w:b w:val="0"/>
                <w:i w:val="0"/>
                <w:sz w:val="15"/>
              </w:rPr>
              <w:t>Llevar a cabo el plan de una investigación científica*, midiendo y registrando evidencias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y presentar datos cuantitativos y/o cualitativos en tablas, gráficos, modelos u otras representaciones, con la ayuda de las TIC. (OA h)</w:t>
            </w:r>
          </w:p>
          <w:p>
            <w:pPr>
              <w:pStyle w:val="ListBullet"/>
              <w:spacing w:after="20"/>
              <w:ind w:left="198" w:hanging="170"/>
            </w:pPr>
            <w:r>
              <w:rPr>
                <w:b w:val="0"/>
                <w:i w:val="0"/>
                <w:sz w:val="15"/>
              </w:rPr>
              <w:t>Crear, seleccionar, usar y ajustar modelos simples, en forma colaborativa, para apoyar explicaciones de eventos frecuentes y regulares. (OA i)</w:t>
            </w:r>
          </w:p>
          <w:p>
            <w:pPr>
              <w:pStyle w:val="ListBullet"/>
              <w:spacing w:after="20"/>
              <w:ind w:left="198" w:hanging="170"/>
            </w:pPr>
            <w:r>
              <w:rPr>
                <w:b w:val="0"/>
                <w:i w:val="0"/>
                <w:sz w:val="15"/>
              </w:rPr>
              <w:t>Examinar los resultados de una investigación científica* para plantear inferencias y conclusiones:</w:t>
              <w:br/>
              <w:t>- Determinando relaciones, tendencias y patrones de la variable en estudio.</w:t>
              <w:br/>
              <w:t>- Usando expresiones y operaciones matemáticas cuando sea pertinente, por ejemplo: proporciones, porcentaje, escalas, unidades, notación científica, frecuencias y medidas de tendencia central (promedio, mediana y moda).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posibles aplicaciones tecnológicas.</w:t>
              <w:br/>
              <w:t>- El desempeño personal y grupal. (OA k)</w:t>
            </w:r>
          </w:p>
          <w:p>
            <w:pPr>
              <w:pStyle w:val="ListBullet"/>
              <w:spacing w:after="20"/>
              <w:ind w:left="198" w:hanging="170"/>
            </w:pPr>
            <w:r>
              <w:rPr>
                <w:b w:val="0"/>
                <w:i w:val="0"/>
                <w:sz w:val="15"/>
              </w:rPr>
              <w:t>Comunicar y explicar conocimientos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(OA m)</w:t>
            </w:r>
          </w:p>
        </w:tc>
        <w:tc>
          <w:tcPr>
            <w:tcW w:type="dxa" w:w="2438"/>
          </w:tcPr>
          <w:p>
            <w:r/>
            <w:r>
              <w:rPr>
                <w:b/>
                <w:i w:val="0"/>
                <w:sz w:val="15"/>
              </w:rPr>
              <w:t>Conocimientos</w:t>
            </w:r>
          </w:p>
          <w:p>
            <w:pPr>
              <w:pStyle w:val="ListBullet"/>
              <w:spacing w:after="20"/>
              <w:ind w:left="198" w:hanging="170"/>
            </w:pPr>
            <w:r>
              <w:rPr>
                <w:b w:val="0"/>
                <w:i w:val="0"/>
                <w:sz w:val="15"/>
              </w:rPr>
              <w:t>Ciclo menstrual.</w:t>
            </w:r>
          </w:p>
          <w:p>
            <w:pPr>
              <w:pStyle w:val="ListBullet"/>
              <w:spacing w:after="20"/>
              <w:ind w:left="198" w:hanging="170"/>
            </w:pPr>
            <w:r>
              <w:rPr>
                <w:b w:val="0"/>
                <w:i w:val="0"/>
                <w:sz w:val="15"/>
              </w:rPr>
              <w:t>Reproducción.</w:t>
            </w:r>
          </w:p>
          <w:p>
            <w:pPr>
              <w:pStyle w:val="ListBullet"/>
              <w:spacing w:after="20"/>
              <w:ind w:left="198" w:hanging="170"/>
            </w:pPr>
            <w:r>
              <w:rPr>
                <w:b w:val="0"/>
                <w:i w:val="0"/>
                <w:sz w:val="15"/>
              </w:rPr>
              <w:t>Ovocitos, espermatozoides y fecundación.</w:t>
            </w:r>
          </w:p>
          <w:p>
            <w:pPr>
              <w:pStyle w:val="ListBullet"/>
              <w:spacing w:after="20"/>
              <w:ind w:left="198" w:hanging="170"/>
            </w:pPr>
            <w:r>
              <w:rPr>
                <w:b w:val="0"/>
                <w:i w:val="0"/>
                <w:sz w:val="15"/>
              </w:rPr>
              <w:t>Sexualidad.</w:t>
            </w:r>
          </w:p>
          <w:p>
            <w:pPr>
              <w:pStyle w:val="ListBullet"/>
              <w:spacing w:after="20"/>
              <w:ind w:left="198" w:hanging="170"/>
            </w:pPr>
            <w:r>
              <w:rPr>
                <w:b w:val="0"/>
                <w:i w:val="0"/>
                <w:sz w:val="15"/>
              </w:rPr>
              <w:t>Dimensiones de la sexualidad.</w:t>
            </w:r>
          </w:p>
          <w:p>
            <w:pPr>
              <w:pStyle w:val="ListBullet"/>
              <w:spacing w:after="20"/>
              <w:ind w:left="198" w:hanging="170"/>
            </w:pPr>
            <w:r>
              <w:rPr>
                <w:b w:val="0"/>
                <w:i w:val="0"/>
                <w:sz w:val="15"/>
              </w:rPr>
              <w:t>Diversidad sexual.</w:t>
            </w:r>
          </w:p>
          <w:p>
            <w:pPr>
              <w:pStyle w:val="ListBullet"/>
              <w:spacing w:after="20"/>
              <w:ind w:left="198" w:hanging="170"/>
            </w:pPr>
            <w:r>
              <w:rPr>
                <w:b w:val="0"/>
                <w:i w:val="0"/>
                <w:sz w:val="15"/>
              </w:rPr>
              <w:t>Paternidad y maternidad responsable.</w:t>
            </w:r>
          </w:p>
          <w:p>
            <w:pPr>
              <w:pStyle w:val="ListBullet"/>
              <w:spacing w:after="20"/>
              <w:ind w:left="198" w:hanging="170"/>
            </w:pPr>
            <w:r>
              <w:rPr>
                <w:b w:val="0"/>
                <w:i w:val="0"/>
                <w:sz w:val="15"/>
              </w:rPr>
              <w:t>Métodos de control de la natalidad.</w:t>
            </w:r>
          </w:p>
          <w:p>
            <w:pPr>
              <w:pStyle w:val="ListBullet"/>
              <w:spacing w:after="20"/>
              <w:ind w:left="198" w:hanging="170"/>
            </w:pPr>
            <w:r>
              <w:rPr>
                <w:b w:val="0"/>
                <w:i w:val="0"/>
                <w:sz w:val="15"/>
              </w:rPr>
              <w:t>Consecuencias de las Infecciones de Transmisión Sexual (ITS)</w:t>
            </w:r>
          </w:p>
          <w:p>
            <w:pPr>
              <w:pStyle w:val="ListBullet"/>
              <w:spacing w:after="20"/>
              <w:ind w:left="198" w:hanging="170"/>
            </w:pPr>
            <w:r>
              <w:rPr>
                <w:b w:val="0"/>
                <w:i w:val="0"/>
                <w:sz w:val="15"/>
              </w:rPr>
              <w:t>ITS por hongos, bacterias y protozoos.</w:t>
            </w:r>
          </w:p>
          <w:p>
            <w:pPr>
              <w:pStyle w:val="ListBullet"/>
              <w:spacing w:after="20"/>
              <w:ind w:left="198" w:hanging="170"/>
            </w:pPr>
            <w:r>
              <w:rPr>
                <w:b w:val="0"/>
                <w:i w:val="0"/>
                <w:sz w:val="15"/>
              </w:rPr>
              <w:t>Mecanismos de transmisión, síntomas y tratamiento de las ITS.</w:t>
            </w:r>
          </w:p>
          <w:p>
            <w:pPr>
              <w:pStyle w:val="ListBullet"/>
              <w:spacing w:after="20"/>
              <w:ind w:left="198" w:hanging="170"/>
            </w:pPr>
            <w:r>
              <w:rPr>
                <w:b w:val="0"/>
                <w:i w:val="0"/>
                <w:sz w:val="15"/>
              </w:rPr>
              <w:t>Medidas de prevención de ITS.</w:t>
            </w:r>
          </w:p>
          <w:p>
            <w:pPr>
              <w:pStyle w:val="ListBullet"/>
              <w:spacing w:after="20"/>
              <w:ind w:left="198" w:hanging="170"/>
            </w:pPr>
            <w:r>
              <w:rPr>
                <w:b w:val="0"/>
                <w:i w:val="0"/>
                <w:sz w:val="15"/>
              </w:rPr>
              <w:t>Uso correcto del preservativo.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Ciclo menstrual, reproducción, ovocito, espermatozoide, fecundación, sexualidad, afectividad, dimensiones de la sexualidad, diversidad sexual, orientación sexual, identidad sexual, sistema reproductor masculino, sistema reproductor femenino, métodos de control de la natalidad, preservativo, infección de transmisión sexual (ITS), gonorrea, herpes, infecciones vaginales, cándida, tricomonas, clamidias, sífilis, VIH-SIDA, prevención.</w:t>
            </w:r>
          </w:p>
        </w:tc>
        <w:tc>
          <w:tcPr>
            <w:tcW w:type="dxa" w:w="3175"/>
          </w:tcPr>
          <w:p>
            <w:r/>
            <w:r>
              <w:rPr>
                <w:b/>
                <w:i w:val="0"/>
                <w:sz w:val="15"/>
              </w:rPr>
              <w:t>Sugerencia de evaluación 1 (OA 2) · pág. 279</w:t>
            </w:r>
          </w:p>
          <w:p>
            <w:pPr>
              <w:pStyle w:val="ListBullet"/>
              <w:spacing w:after="20"/>
              <w:ind w:left="198" w:hanging="170"/>
            </w:pPr>
            <w:r>
              <w:rPr>
                <w:b w:val="0"/>
                <w:i w:val="0"/>
                <w:sz w:val="15"/>
              </w:rPr>
              <w:t>Explican el rol de espermatozoides y ovocitos en el proceso de fecundación y la formación de un nuevo individuo, mediante el uso de modelos.</w:t>
            </w:r>
          </w:p>
          <w:p>
            <w:pPr>
              <w:pStyle w:val="ListBullet"/>
              <w:spacing w:after="20"/>
              <w:ind w:left="198" w:hanging="170"/>
            </w:pPr>
            <w:r>
              <w:rPr>
                <w:b w:val="0"/>
                <w:i w:val="0"/>
                <w:sz w:val="15"/>
              </w:rPr>
              <w:t>Argumentan respecto a la prevención de la gestación desde el análisis de casos de embarazo adolescente y lo que implica la paternidad y maternidad responsables en la etapa de la adolescencia.</w:t>
            </w:r>
          </w:p>
          <w:p>
            <w:pPr>
              <w:pStyle w:val="ListBullet"/>
              <w:spacing w:after="20"/>
              <w:ind w:left="198" w:hanging="170"/>
            </w:pPr>
            <w:r>
              <w:rPr>
                <w:b w:val="0"/>
                <w:i w:val="0"/>
                <w:sz w:val="15"/>
              </w:rPr>
              <w:t>Reconocen que una predicción se fundamenta con argumentos científicos y la diferencian de una adivinanza.</w:t>
            </w:r>
          </w:p>
          <w:p>
            <w:pPr>
              <w:pStyle w:val="ListBullet"/>
              <w:spacing w:after="20"/>
              <w:ind w:left="198" w:hanging="170"/>
            </w:pPr>
            <w:r>
              <w:rPr>
                <w:b w:val="0"/>
                <w:i w:val="0"/>
                <w:sz w:val="15"/>
              </w:rPr>
              <w:t>Utilizan modelos para apoyar explicaciones de conocimientos científicos.</w:t>
            </w:r>
          </w:p>
          <w:p>
            <w:r>
              <w:rPr>
                <w:b/>
                <w:i w:val="0"/>
                <w:sz w:val="15"/>
              </w:rPr>
              <w:t>Sugerencia de evaluación 2 (OA 2) · pág. 280</w:t>
            </w:r>
          </w:p>
          <w:p>
            <w:pPr>
              <w:pStyle w:val="ListBullet"/>
              <w:spacing w:after="20"/>
              <w:ind w:left="198" w:hanging="170"/>
            </w:pPr>
            <w:r>
              <w:rPr>
                <w:b w:val="0"/>
                <w:i w:val="0"/>
                <w:sz w:val="15"/>
              </w:rPr>
              <w:t>Describen el ciclo menstrual (fases proliferativa, lútea, menstrual, ovulación en la mujer) y su relación con la reproducción humana.</w:t>
            </w:r>
          </w:p>
          <w:p>
            <w:pPr>
              <w:pStyle w:val="ListBullet"/>
              <w:spacing w:after="20"/>
              <w:ind w:left="198" w:hanging="170"/>
            </w:pPr>
            <w:r>
              <w:rPr>
                <w:b w:val="0"/>
                <w:i w:val="0"/>
                <w:sz w:val="15"/>
              </w:rPr>
              <w:t>Eligen formas de registrar datos cualitativos durante el desarrollo de una investigación.</w:t>
            </w:r>
          </w:p>
          <w:p>
            <w:pPr>
              <w:pStyle w:val="ListBullet"/>
              <w:spacing w:after="20"/>
              <w:ind w:left="198" w:hanging="170"/>
            </w:pPr>
            <w:r>
              <w:rPr>
                <w:b w:val="0"/>
                <w:i w:val="0"/>
                <w:sz w:val="15"/>
              </w:rPr>
              <w:t>Utilizan modelos para apoyar explicaciones de conocimientos científicos.</w:t>
            </w:r>
          </w:p>
          <w:p>
            <w:r>
              <w:rPr>
                <w:b/>
                <w:i w:val="0"/>
                <w:sz w:val="15"/>
              </w:rPr>
              <w:t>Sugerencia de evaluación 3 (OA 3) · pág. 282</w:t>
            </w:r>
          </w:p>
          <w:p>
            <w:pPr>
              <w:pStyle w:val="ListBullet"/>
              <w:spacing w:after="20"/>
              <w:ind w:left="198" w:hanging="170"/>
            </w:pPr>
            <w:r>
              <w:rPr>
                <w:b w:val="0"/>
                <w:i w:val="0"/>
                <w:sz w:val="15"/>
              </w:rPr>
              <w:t>Investigan algunas Infecciones de Transmisión Sexual (ITS) como virus del papiloma humano, gonorrea, herpes, cándida, tricomonas, clamidias, sífilis y VIH/SIDA; sus principales síntomas en el cuerpo humano y posibles medidas de prevención y tratamiento.</w:t>
            </w:r>
          </w:p>
          <w:p>
            <w:pPr>
              <w:pStyle w:val="ListBullet"/>
              <w:spacing w:after="20"/>
              <w:ind w:left="198" w:hanging="170"/>
            </w:pPr>
            <w:r>
              <w:rPr>
                <w:b w:val="0"/>
                <w:i w:val="0"/>
                <w:sz w:val="15"/>
              </w:rPr>
              <w:t>Explican los mecanismos de contagio de Infecciones de Transmisión Sexual (ITS) clarificando mitos y errores al respecto.</w:t>
            </w:r>
          </w:p>
          <w:p>
            <w:pPr>
              <w:pStyle w:val="ListBullet"/>
              <w:spacing w:after="20"/>
              <w:ind w:left="198" w:hanging="170"/>
            </w:pPr>
            <w:r>
              <w:rPr>
                <w:b w:val="0"/>
                <w:i w:val="0"/>
                <w:sz w:val="15"/>
              </w:rPr>
              <w:t>Analizan e interpretan evidencias de consecuencias del contagio de ITS para la salud humana en Chile y en otros países.</w:t>
            </w:r>
          </w:p>
          <w:p>
            <w:pPr>
              <w:pStyle w:val="ListBullet"/>
              <w:spacing w:after="20"/>
              <w:ind w:left="198" w:hanging="170"/>
            </w:pPr>
            <w:r>
              <w:rPr>
                <w:b w:val="0"/>
                <w:i w:val="0"/>
                <w:sz w:val="15"/>
              </w:rPr>
              <w:t>Comunican los resultados de una investigación científica señalando las fuentes y autores utilizados en ella.</w:t>
            </w:r>
          </w:p>
          <w:p>
            <w:r>
              <w:rPr>
                <w:b/>
                <w:i w:val="0"/>
                <w:sz w:val="15"/>
              </w:rPr>
              <w:t>Sugerencia de evaluación 4 (OA 3) · pág. 284</w:t>
            </w:r>
          </w:p>
          <w:p>
            <w:pPr>
              <w:pStyle w:val="ListBullet"/>
              <w:spacing w:after="20"/>
              <w:ind w:left="198" w:hanging="170"/>
            </w:pPr>
            <w:r>
              <w:rPr>
                <w:b w:val="0"/>
                <w:i w:val="0"/>
                <w:sz w:val="15"/>
              </w:rPr>
              <w:t>Investigan algunas infecciones de transmisión sexual (ITS) como virus del papiloma humano, gonorrea, herpes, cándida, tricomonas, clamidias, sífilis y VIH/SIDA, sus principales síntomas en el cuerpo humano y posibles medidas de prevención y tratamiento.</w:t>
            </w:r>
          </w:p>
          <w:p>
            <w:pPr>
              <w:pStyle w:val="ListBullet"/>
              <w:spacing w:after="20"/>
              <w:ind w:left="198" w:hanging="170"/>
            </w:pPr>
            <w:r>
              <w:rPr>
                <w:b w:val="0"/>
                <w:i w:val="0"/>
                <w:sz w:val="15"/>
              </w:rPr>
              <w:t>Analizan e interpretan evidencia del impacto en la salud pública del contagio de ITS para la salud humana en Chile y en otros países.</w:t>
            </w:r>
          </w:p>
          <w:p>
            <w:pPr>
              <w:pStyle w:val="ListBullet"/>
              <w:spacing w:after="20"/>
              <w:ind w:left="198" w:hanging="170"/>
            </w:pPr>
            <w:r>
              <w:rPr>
                <w:b w:val="0"/>
                <w:i w:val="0"/>
                <w:sz w:val="15"/>
              </w:rPr>
              <w:t>Discuten en torno a la efectividad del preservativo masculino y femenino en la prevención de ITS y a la realización oportuna de la prueba de Papanicolau.</w:t>
            </w:r>
          </w:p>
          <w:p>
            <w:pPr>
              <w:pStyle w:val="ListBullet"/>
              <w:spacing w:after="20"/>
              <w:ind w:left="198" w:hanging="170"/>
            </w:pPr>
            <w:r>
              <w:rPr>
                <w:b w:val="0"/>
                <w:i w:val="0"/>
                <w:sz w:val="15"/>
              </w:rPr>
              <w:t>Organizan datos cualitativos y cuantitativos según la necesidad de una investigación, como tablas o bitácoras, entre otros.</w:t>
            </w:r>
          </w:p>
          <w:p>
            <w:pPr>
              <w:pStyle w:val="ListBullet"/>
              <w:spacing w:after="20"/>
              <w:ind w:left="198" w:hanging="170"/>
            </w:pPr>
            <w:r>
              <w:rPr>
                <w:b w:val="0"/>
                <w:i w:val="0"/>
                <w:sz w:val="15"/>
              </w:rPr>
              <w:t>Utilizan lenguaje científico para describir un objeto, proceso o fenómeno natural o tecnológico.</w:t>
            </w:r>
          </w:p>
        </w:tc>
        <w:tc>
          <w:tcPr>
            <w:tcW w:type="dxa" w:w="1474"/>
          </w:tcPr>
          <w:p>
            <w:r/>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Preguntas anónimas en un buzón y conversación guiada; análisis de casos de autocuidado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 imagen que se presenta es un esquema del sistema reproductor femenino. (pág. 279)</w:t>
            </w:r>
          </w:p>
          <w:p>
            <w:pPr>
              <w:pStyle w:val="ListBullet"/>
              <w:spacing w:after="20"/>
              <w:ind w:left="198" w:hanging="170"/>
            </w:pPr>
            <w:r>
              <w:rPr>
                <w:b/>
                <w:i w:val="0"/>
                <w:sz w:val="15"/>
              </w:rPr>
              <w:t xml:space="preserve">Sugerencia de evaluación 2: </w:t>
            </w:r>
            <w:r>
              <w:rPr>
                <w:b w:val="0"/>
                <w:i w:val="0"/>
                <w:sz w:val="15"/>
              </w:rPr>
              <w:t>Dos mujeres inician su periodo menstrual el mismo día, como se ilustra en el siguiente calendario. (pág. 280)</w:t>
            </w:r>
          </w:p>
          <w:p>
            <w:pPr>
              <w:pStyle w:val="ListBullet"/>
              <w:spacing w:after="20"/>
              <w:ind w:left="198" w:hanging="170"/>
            </w:pPr>
            <w:r>
              <w:rPr>
                <w:b/>
                <w:i w:val="0"/>
                <w:sz w:val="15"/>
              </w:rPr>
              <w:t xml:space="preserve">Sugerencia de evaluación 3: </w:t>
            </w:r>
            <w:r>
              <w:rPr>
                <w:b w:val="0"/>
                <w:i w:val="0"/>
                <w:sz w:val="15"/>
              </w:rPr>
              <w:t>El siguiente gráfico muestra la tasa de notificación de VIH por grupos de edades entre los años 1988 y 2012. Edad (años) 1988 - 1992 1993 - 1997 1998 - 2002 2003 - 2007 2008 - 2012 10 - 14 0 0,2 0,4 0,5 0,9 15 - 19 2,8 4,2 11,6 14 23,4 20 - 29 10,8 29,3 51,9 62,3 98,9 30 - 39 9,2 25,1 50,6 55,4 74,4 40 - 49 5,2 11,8 24,3 28,6 36,9 50 - 59 2 7,6 13,6 14,9 17,1 Tasas por 100.000 Fuente: Departamento de Epidemiología, MINSAL a. (pág. 282)</w:t>
            </w:r>
          </w:p>
          <w:p>
            <w:pPr>
              <w:pStyle w:val="ListBullet"/>
              <w:spacing w:after="20"/>
              <w:ind w:left="198" w:hanging="170"/>
            </w:pPr>
            <w:r>
              <w:rPr>
                <w:b/>
                <w:i w:val="0"/>
                <w:sz w:val="15"/>
              </w:rPr>
              <w:t xml:space="preserve">Sugerencia de evaluación 4: </w:t>
            </w:r>
            <w:r>
              <w:rPr>
                <w:b w:val="0"/>
                <w:i w:val="0"/>
                <w:sz w:val="15"/>
              </w:rPr>
              <w:t>Diseñe, en el siguiente recuadro, un cartel que promueva la prevención de Infecciones de Transmisión Sexual (ITS). (pág. 284)</w:t>
            </w:r>
          </w:p>
        </w:tc>
        <w:tc>
          <w:tcPr>
            <w:tcW w:type="dxa" w:w="1247"/>
          </w:tcPr>
          <w:p>
            <w:r/>
            <w:r>
              <w:rPr>
                <w:b/>
                <w:i/>
                <w:color w:val="595959"/>
                <w:sz w:val="15"/>
              </w:rPr>
              <w:t xml:space="preserve">Sugerencia — revisar: </w:t>
            </w:r>
            <w:r>
              <w:rPr>
                <w:b w:val="0"/>
                <w:i/>
                <w:color w:val="595959"/>
                <w:sz w:val="15"/>
              </w:rPr>
              <w:t>Material educativo del Ministerio de Salud y del Ministerio de Educación sobre sexualidad, afectividad y género; modelos del sistema reproductor.</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fenómenos con experimentos, modelos, simulaciones, imágenes y textos.</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resultados de forma oral, escrita, con modelos o de forma multimodal (informe, póster, video).</w:t>
            </w:r>
          </w:p>
          <w:p>
            <w:r>
              <w:rPr>
                <w:b/>
                <w:i w:val="0"/>
                <w:sz w:val="18"/>
              </w:rPr>
              <w:t xml:space="preserve">Múltiples formas de implicación: </w:t>
            </w:r>
            <w:r>
              <w:rPr>
                <w:b/>
                <w:i/>
                <w:color w:val="595959"/>
                <w:sz w:val="18"/>
              </w:rPr>
              <w:t xml:space="preserve">Sugerencia — revisar: </w:t>
            </w:r>
            <w:r>
              <w:rPr>
                <w:b w:val="0"/>
                <w:i/>
                <w:color w:val="595959"/>
                <w:sz w:val="18"/>
              </w:rPr>
              <w:t>Plantear preguntas de investigación cercanas al entorno y trabajo colaborativo con roles definidos.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BIOLOGÍA</w:t>
            </w:r>
          </w:p>
        </w:tc>
      </w:tr>
      <w:tr>
        <w:trPr>
          <w:cantSplit/>
        </w:trPr>
        <w:tc>
          <w:tcPr>
            <w:tcW w:type="dxa" w:w="1701"/>
          </w:tcPr>
          <w:p>
            <w:r>
              <w:rPr>
                <w:b/>
                <w:i w:val="0"/>
                <w:sz w:val="18"/>
              </w:rPr>
              <w:t>OA 1</w:t>
            </w:r>
          </w:p>
          <w:p>
            <w:r>
              <w:rPr>
                <w:b w:val="0"/>
                <w:i w:val="0"/>
                <w:color w:val="595959"/>
                <w:sz w:val="14"/>
              </w:rPr>
              <w:t>(B 145 · P 69)</w:t>
            </w:r>
          </w:p>
        </w:tc>
        <w:tc>
          <w:tcPr>
            <w:tcW w:type="dxa" w:w="14967"/>
          </w:tcPr>
          <w:p>
            <w:r>
              <w:rPr>
                <w:b w:val="0"/>
                <w:i w:val="0"/>
                <w:sz w:val="18"/>
              </w:rPr>
              <w:t>Explicar los aspectos biológicos, afectivos y sociales que se integran en la sexualidad, considerando:</w:t>
            </w:r>
          </w:p>
          <w:p>
            <w:pPr>
              <w:pStyle w:val="ListBullet"/>
              <w:spacing w:after="20"/>
              <w:ind w:left="198" w:hanging="170"/>
            </w:pPr>
            <w:r>
              <w:rPr>
                <w:b w:val="0"/>
                <w:i w:val="0"/>
                <w:sz w:val="18"/>
              </w:rPr>
              <w:t>Los cambios físicos que ocurren durante la pubertad.</w:t>
            </w:r>
          </w:p>
          <w:p>
            <w:pPr>
              <w:pStyle w:val="ListBullet"/>
              <w:spacing w:after="20"/>
              <w:ind w:left="198" w:hanging="170"/>
            </w:pPr>
            <w:r>
              <w:rPr>
                <w:b w:val="0"/>
                <w:i w:val="0"/>
                <w:sz w:val="18"/>
              </w:rPr>
              <w:t>La relación afectiva entre dos personas en la intimidad y el respeto mutuo.</w:t>
            </w:r>
          </w:p>
          <w:p>
            <w:pPr>
              <w:pStyle w:val="ListBullet"/>
              <w:spacing w:after="20"/>
              <w:ind w:left="198" w:hanging="170"/>
            </w:pPr>
            <w:r>
              <w:rPr>
                <w:b w:val="0"/>
                <w:i w:val="0"/>
                <w:sz w:val="18"/>
              </w:rPr>
              <w:t>La responsabilidad individual.</w:t>
            </w:r>
          </w:p>
        </w:tc>
      </w:tr>
      <w:tr>
        <w:trPr>
          <w:cantSplit/>
        </w:trPr>
        <w:tc>
          <w:tcPr>
            <w:tcW w:type="dxa" w:w="1701"/>
          </w:tcPr>
          <w:p>
            <w:r>
              <w:rPr>
                <w:b/>
                <w:i w:val="0"/>
                <w:sz w:val="18"/>
              </w:rPr>
              <w:t>OA 2</w:t>
            </w:r>
          </w:p>
          <w:p>
            <w:r>
              <w:rPr>
                <w:b w:val="0"/>
                <w:i w:val="0"/>
                <w:color w:val="595959"/>
                <w:sz w:val="14"/>
              </w:rPr>
              <w:t>(B 145 · P 69)</w:t>
            </w:r>
          </w:p>
        </w:tc>
        <w:tc>
          <w:tcPr>
            <w:tcW w:type="dxa" w:w="14967"/>
          </w:tcPr>
          <w:p>
            <w:r>
              <w:rPr>
                <w:b w:val="0"/>
                <w:i w:val="0"/>
                <w:sz w:val="18"/>
              </w:rPr>
              <w:t>Explicar la formación de un nuevo individuo, considerando:</w:t>
            </w:r>
          </w:p>
          <w:p>
            <w:pPr>
              <w:pStyle w:val="ListBullet"/>
              <w:spacing w:after="20"/>
              <w:ind w:left="198" w:hanging="170"/>
            </w:pPr>
            <w:r>
              <w:rPr>
                <w:b w:val="0"/>
                <w:i w:val="0"/>
                <w:sz w:val="18"/>
              </w:rPr>
              <w:t>El ciclo menstrual (días fértiles, menstruación y ovulación).</w:t>
            </w:r>
          </w:p>
          <w:p>
            <w:pPr>
              <w:pStyle w:val="ListBullet"/>
              <w:spacing w:after="20"/>
              <w:ind w:left="198" w:hanging="170"/>
            </w:pPr>
            <w:r>
              <w:rPr>
                <w:b w:val="0"/>
                <w:i w:val="0"/>
                <w:sz w:val="18"/>
              </w:rPr>
              <w:t>La participación de espermatozoides y ovocitos.</w:t>
            </w:r>
          </w:p>
          <w:p>
            <w:pPr>
              <w:pStyle w:val="ListBullet"/>
              <w:spacing w:after="20"/>
              <w:ind w:left="198" w:hanging="170"/>
            </w:pPr>
            <w:r>
              <w:rPr>
                <w:b w:val="0"/>
                <w:i w:val="0"/>
                <w:sz w:val="18"/>
              </w:rPr>
              <w:t>Métodos de control de la natalidad.</w:t>
            </w:r>
          </w:p>
          <w:p>
            <w:pPr>
              <w:pStyle w:val="ListBullet"/>
              <w:spacing w:after="20"/>
              <w:ind w:left="198" w:hanging="170"/>
            </w:pPr>
            <w:r>
              <w:rPr>
                <w:b w:val="0"/>
                <w:i w:val="0"/>
                <w:sz w:val="18"/>
              </w:rPr>
              <w:t>La paternidad y la maternidad responsables.</w:t>
            </w:r>
          </w:p>
        </w:tc>
      </w:tr>
      <w:tr>
        <w:trPr>
          <w:cantSplit/>
        </w:trPr>
        <w:tc>
          <w:tcPr>
            <w:tcW w:type="dxa" w:w="1701"/>
          </w:tcPr>
          <w:p>
            <w:r>
              <w:rPr>
                <w:b/>
                <w:i w:val="0"/>
                <w:sz w:val="18"/>
              </w:rPr>
              <w:t>OA 3</w:t>
            </w:r>
          </w:p>
          <w:p>
            <w:r>
              <w:rPr>
                <w:b w:val="0"/>
                <w:i w:val="0"/>
                <w:color w:val="595959"/>
                <w:sz w:val="14"/>
              </w:rPr>
              <w:t>(B 145 · P 69)</w:t>
            </w:r>
          </w:p>
        </w:tc>
        <w:tc>
          <w:tcPr>
            <w:tcW w:type="dxa" w:w="14967"/>
          </w:tcPr>
          <w:p>
            <w:r>
              <w:rPr>
                <w:b w:val="0"/>
                <w:i w:val="0"/>
                <w:sz w:val="18"/>
              </w:rPr>
              <w:t>Describir, por medio de la investigación, las características de infecciones de transmisión sexual (ITS), como sida y herpes, entre otros, considerando sus:</w:t>
            </w:r>
          </w:p>
          <w:p>
            <w:pPr>
              <w:pStyle w:val="ListBullet"/>
              <w:spacing w:after="20"/>
              <w:ind w:left="198" w:hanging="170"/>
            </w:pPr>
            <w:r>
              <w:rPr>
                <w:b w:val="0"/>
                <w:i w:val="0"/>
                <w:sz w:val="18"/>
              </w:rPr>
              <w:t>Mecanismos de transmisión.</w:t>
            </w:r>
          </w:p>
          <w:p>
            <w:pPr>
              <w:pStyle w:val="ListBullet"/>
              <w:spacing w:after="20"/>
              <w:ind w:left="198" w:hanging="170"/>
            </w:pPr>
            <w:r>
              <w:rPr>
                <w:b w:val="0"/>
                <w:i w:val="0"/>
                <w:sz w:val="18"/>
              </w:rPr>
              <w:t>Medidas de prevención.</w:t>
            </w:r>
          </w:p>
          <w:p>
            <w:pPr>
              <w:pStyle w:val="ListBullet"/>
              <w:spacing w:after="20"/>
              <w:ind w:left="198" w:hanging="170"/>
            </w:pPr>
            <w:r>
              <w:rPr>
                <w:b w:val="0"/>
                <w:i w:val="0"/>
                <w:sz w:val="18"/>
              </w:rPr>
              <w:t>Síntomas generales.</w:t>
            </w:r>
          </w:p>
          <w:p>
            <w:pPr>
              <w:pStyle w:val="ListBullet"/>
              <w:spacing w:after="20"/>
              <w:ind w:left="198" w:hanging="170"/>
            </w:pPr>
            <w:r>
              <w:rPr>
                <w:b w:val="0"/>
                <w:i w:val="0"/>
                <w:sz w:val="18"/>
              </w:rPr>
              <w:t>Consecuencias y posibles secuelas.</w:t>
            </w:r>
          </w:p>
        </w:tc>
      </w:tr>
      <w:tr>
        <w:trPr>
          <w:cantSplit/>
        </w:trPr>
        <w:tc>
          <w:tcPr>
            <w:tcW w:type="dxa" w:w="1701"/>
          </w:tcPr>
          <w:p>
            <w:r>
              <w:rPr>
                <w:b/>
                <w:i w:val="0"/>
                <w:sz w:val="18"/>
              </w:rPr>
              <w:t>OA 4</w:t>
            </w:r>
          </w:p>
          <w:p>
            <w:r>
              <w:rPr>
                <w:b w:val="0"/>
                <w:i w:val="0"/>
                <w:color w:val="595959"/>
                <w:sz w:val="14"/>
              </w:rPr>
              <w:t>(B 146 · P 68)</w:t>
            </w:r>
          </w:p>
        </w:tc>
        <w:tc>
          <w:tcPr>
            <w:tcW w:type="dxa" w:w="14967"/>
          </w:tcPr>
          <w:p>
            <w:r>
              <w:rPr>
                <w:b w:val="0"/>
                <w:i w:val="0"/>
                <w:sz w:val="18"/>
              </w:rPr>
              <w:t>Desarrollar modelos que expliquen las barreras defensivas (primaria, secundaria y terciaria) del cuerpo humano, considerando:</w:t>
            </w:r>
          </w:p>
          <w:p>
            <w:pPr>
              <w:pStyle w:val="ListBullet"/>
              <w:spacing w:after="20"/>
              <w:ind w:left="198" w:hanging="170"/>
            </w:pPr>
            <w:r>
              <w:rPr>
                <w:b w:val="0"/>
                <w:i w:val="0"/>
                <w:sz w:val="18"/>
              </w:rPr>
              <w:t>Agentes patógenos como Escherichia coli y el virus de la gripe.</w:t>
            </w:r>
          </w:p>
          <w:p>
            <w:pPr>
              <w:pStyle w:val="ListBullet"/>
              <w:spacing w:after="20"/>
              <w:ind w:left="198" w:hanging="170"/>
            </w:pPr>
            <w:r>
              <w:rPr>
                <w:b w:val="0"/>
                <w:i w:val="0"/>
                <w:sz w:val="18"/>
              </w:rPr>
              <w:t>Uso de vacunas contra infecciones comunes (influenza y meningitis, entre otras).</w:t>
            </w:r>
          </w:p>
          <w:p>
            <w:pPr>
              <w:pStyle w:val="ListBullet"/>
              <w:spacing w:after="20"/>
              <w:ind w:left="198" w:hanging="170"/>
            </w:pPr>
            <w:r>
              <w:rPr>
                <w:b w:val="0"/>
                <w:i w:val="0"/>
                <w:sz w:val="18"/>
              </w:rPr>
              <w:t>Alteraciones en sus respuestas, como en las alergias, las enfermedades autoinmunes y los rechazos a trasplantes de órganos.</w:t>
            </w:r>
          </w:p>
        </w:tc>
      </w:tr>
      <w:tr>
        <w:trPr>
          <w:cantSplit/>
        </w:trPr>
        <w:tc>
          <w:tcPr>
            <w:tcW w:type="dxa" w:w="1701"/>
          </w:tcPr>
          <w:p>
            <w:r>
              <w:rPr>
                <w:b/>
                <w:i w:val="0"/>
                <w:sz w:val="18"/>
              </w:rPr>
              <w:t>OA 5</w:t>
            </w:r>
          </w:p>
          <w:p>
            <w:r>
              <w:rPr>
                <w:b w:val="0"/>
                <w:i w:val="0"/>
                <w:color w:val="595959"/>
                <w:sz w:val="14"/>
              </w:rPr>
              <w:t>(B 146 · P 68)</w:t>
            </w:r>
          </w:p>
        </w:tc>
        <w:tc>
          <w:tcPr>
            <w:tcW w:type="dxa" w:w="14967"/>
          </w:tcPr>
          <w:p>
            <w:r>
              <w:rPr>
                <w:b w:val="0"/>
                <w:i w:val="0"/>
                <w:sz w:val="18"/>
              </w:rPr>
              <w:t>Comparar, usando modelos, microorganismos como virus, bacterias y hongos, en relación con:</w:t>
            </w:r>
          </w:p>
          <w:p>
            <w:pPr>
              <w:pStyle w:val="ListBullet"/>
              <w:spacing w:after="20"/>
              <w:ind w:left="198" w:hanging="170"/>
            </w:pPr>
            <w:r>
              <w:rPr>
                <w:b w:val="0"/>
                <w:i w:val="0"/>
                <w:sz w:val="18"/>
              </w:rPr>
              <w:t>Características estructurales (tamaño, forma y componentes).</w:t>
            </w:r>
          </w:p>
          <w:p>
            <w:pPr>
              <w:pStyle w:val="ListBullet"/>
              <w:spacing w:after="20"/>
              <w:ind w:left="198" w:hanging="170"/>
            </w:pPr>
            <w:r>
              <w:rPr>
                <w:b w:val="0"/>
                <w:i w:val="0"/>
                <w:sz w:val="18"/>
              </w:rPr>
              <w:t>Características comunes de los seres vivos (alimentación, reproducción, respiración, etc.).</w:t>
            </w:r>
          </w:p>
          <w:p>
            <w:pPr>
              <w:pStyle w:val="ListBullet"/>
              <w:spacing w:after="20"/>
              <w:ind w:left="198" w:hanging="170"/>
            </w:pPr>
            <w:r>
              <w:rPr>
                <w:b w:val="0"/>
                <w:i w:val="0"/>
                <w:sz w:val="18"/>
              </w:rPr>
              <w:t>Efectos sobre la salud humana (positivos y negativos).</w:t>
            </w:r>
          </w:p>
        </w:tc>
      </w:tr>
      <w:tr>
        <w:trPr>
          <w:cantSplit/>
        </w:trPr>
        <w:tc>
          <w:tcPr>
            <w:tcW w:type="dxa" w:w="1701"/>
          </w:tcPr>
          <w:p>
            <w:r>
              <w:rPr>
                <w:b/>
                <w:i w:val="0"/>
                <w:sz w:val="18"/>
              </w:rPr>
              <w:t>OA 6</w:t>
            </w:r>
          </w:p>
          <w:p>
            <w:r>
              <w:rPr>
                <w:b w:val="0"/>
                <w:i w:val="0"/>
                <w:color w:val="595959"/>
                <w:sz w:val="14"/>
              </w:rPr>
              <w:t>(B 146 · P 68)</w:t>
            </w:r>
          </w:p>
        </w:tc>
        <w:tc>
          <w:tcPr>
            <w:tcW w:type="dxa" w:w="14967"/>
          </w:tcPr>
          <w:p>
            <w:r>
              <w:rPr>
                <w:b w:val="0"/>
                <w:i w:val="0"/>
                <w:sz w:val="18"/>
              </w:rPr>
              <w:t>Investigar y explicar el rol de microorganismos (bacterias y hongos) en la biotecnología, como en la:</w:t>
            </w:r>
          </w:p>
          <w:p>
            <w:pPr>
              <w:pStyle w:val="ListBullet"/>
              <w:spacing w:after="20"/>
              <w:ind w:left="198" w:hanging="170"/>
            </w:pPr>
            <w:r>
              <w:rPr>
                <w:b w:val="0"/>
                <w:i w:val="0"/>
                <w:sz w:val="18"/>
              </w:rPr>
              <w:t>Descontaminación ambiental.</w:t>
            </w:r>
          </w:p>
          <w:p>
            <w:pPr>
              <w:pStyle w:val="ListBullet"/>
              <w:spacing w:after="20"/>
              <w:ind w:left="198" w:hanging="170"/>
            </w:pPr>
            <w:r>
              <w:rPr>
                <w:b w:val="0"/>
                <w:i w:val="0"/>
                <w:sz w:val="18"/>
              </w:rPr>
              <w:t>Producción de alimentos y fármacos.</w:t>
            </w:r>
          </w:p>
          <w:p>
            <w:pPr>
              <w:pStyle w:val="ListBullet"/>
              <w:spacing w:after="20"/>
              <w:ind w:left="198" w:hanging="170"/>
            </w:pPr>
            <w:r>
              <w:rPr>
                <w:b w:val="0"/>
                <w:i w:val="0"/>
                <w:sz w:val="18"/>
              </w:rPr>
              <w:t>Obtención del cobre.</w:t>
            </w:r>
          </w:p>
          <w:p>
            <w:pPr>
              <w:pStyle w:val="ListBullet"/>
              <w:spacing w:after="20"/>
              <w:ind w:left="198" w:hanging="170"/>
            </w:pPr>
            <w:r>
              <w:rPr>
                <w:b w:val="0"/>
                <w:i w:val="0"/>
                <w:sz w:val="18"/>
              </w:rPr>
              <w:t>Generación de metano.</w:t>
            </w:r>
          </w:p>
        </w:tc>
      </w:tr>
      <w:tr>
        <w:tc>
          <w:tcPr>
            <w:tcW w:type="dxa" w:w="16668"/>
            <w:gridSpan w:val="2"/>
          </w:tcPr>
          <w:p>
            <w:r/>
            <w:r>
              <w:rPr>
                <w:b/>
                <w:i w:val="0"/>
                <w:sz w:val="18"/>
              </w:rPr>
              <w:t>FÍSICA</w:t>
            </w:r>
          </w:p>
        </w:tc>
      </w:tr>
      <w:tr>
        <w:trPr>
          <w:cantSplit/>
        </w:trPr>
        <w:tc>
          <w:tcPr>
            <w:tcW w:type="dxa" w:w="1701"/>
          </w:tcPr>
          <w:p>
            <w:r>
              <w:rPr>
                <w:b/>
                <w:i w:val="0"/>
                <w:sz w:val="18"/>
              </w:rPr>
              <w:t>OA 7</w:t>
            </w:r>
          </w:p>
          <w:p>
            <w:r>
              <w:rPr>
                <w:b w:val="0"/>
                <w:i w:val="0"/>
                <w:color w:val="595959"/>
                <w:sz w:val="14"/>
              </w:rPr>
              <w:t>(B 146 · P 67)</w:t>
            </w:r>
          </w:p>
        </w:tc>
        <w:tc>
          <w:tcPr>
            <w:tcW w:type="dxa" w:w="14967"/>
          </w:tcPr>
          <w:p>
            <w:r>
              <w:rPr>
                <w:b w:val="0"/>
                <w:i w:val="0"/>
                <w:sz w:val="18"/>
              </w:rPr>
              <w:t>Planificar y conducir una investigación experimental para proveer evidencias que expliquen los efectos de las fuerzas gravitacional, de roce y elástica, entre otras, en situaciones cotidianas.</w:t>
            </w:r>
          </w:p>
        </w:tc>
      </w:tr>
      <w:tr>
        <w:trPr>
          <w:cantSplit/>
        </w:trPr>
        <w:tc>
          <w:tcPr>
            <w:tcW w:type="dxa" w:w="1701"/>
          </w:tcPr>
          <w:p>
            <w:r>
              <w:rPr>
                <w:b/>
                <w:i w:val="0"/>
                <w:sz w:val="18"/>
              </w:rPr>
              <w:t>OA 8</w:t>
            </w:r>
          </w:p>
          <w:p>
            <w:r>
              <w:rPr>
                <w:b w:val="0"/>
                <w:i w:val="0"/>
                <w:color w:val="595959"/>
                <w:sz w:val="14"/>
              </w:rPr>
              <w:t>(B 146 · P 67)</w:t>
            </w:r>
          </w:p>
        </w:tc>
        <w:tc>
          <w:tcPr>
            <w:tcW w:type="dxa" w:w="14967"/>
          </w:tcPr>
          <w:p>
            <w:r>
              <w:rPr>
                <w:b w:val="0"/>
                <w:i w:val="0"/>
                <w:sz w:val="18"/>
              </w:rPr>
              <w:t>Explorar y describir cualitativamente la presión, considerando sus efectos en:</w:t>
            </w:r>
          </w:p>
          <w:p>
            <w:pPr>
              <w:pStyle w:val="ListBullet"/>
              <w:spacing w:after="20"/>
              <w:ind w:left="198" w:hanging="170"/>
            </w:pPr>
            <w:r>
              <w:rPr>
                <w:b w:val="0"/>
                <w:i w:val="0"/>
                <w:sz w:val="18"/>
              </w:rPr>
              <w:t>Sólidos, como en herramientas mecánicas.</w:t>
            </w:r>
          </w:p>
          <w:p>
            <w:pPr>
              <w:pStyle w:val="ListBullet"/>
              <w:spacing w:after="20"/>
              <w:ind w:left="198" w:hanging="170"/>
            </w:pPr>
            <w:r>
              <w:rPr>
                <w:b w:val="0"/>
                <w:i w:val="0"/>
                <w:sz w:val="18"/>
              </w:rPr>
              <w:t>Líquidos, como en máquinas hidráulicas.</w:t>
            </w:r>
          </w:p>
          <w:p>
            <w:pPr>
              <w:pStyle w:val="ListBullet"/>
              <w:spacing w:after="20"/>
              <w:ind w:left="198" w:hanging="170"/>
            </w:pPr>
            <w:r>
              <w:rPr>
                <w:b w:val="0"/>
                <w:i w:val="0"/>
                <w:sz w:val="18"/>
              </w:rPr>
              <w:t>Gases, como en la atmósfera.</w:t>
            </w:r>
          </w:p>
        </w:tc>
      </w:tr>
      <w:tr>
        <w:trPr>
          <w:cantSplit/>
        </w:trPr>
        <w:tc>
          <w:tcPr>
            <w:tcW w:type="dxa" w:w="1701"/>
          </w:tcPr>
          <w:p>
            <w:r>
              <w:rPr>
                <w:b/>
                <w:i w:val="0"/>
                <w:sz w:val="18"/>
              </w:rPr>
              <w:t>OA 9</w:t>
            </w:r>
          </w:p>
          <w:p>
            <w:r>
              <w:rPr>
                <w:b w:val="0"/>
                <w:i w:val="0"/>
                <w:color w:val="595959"/>
                <w:sz w:val="14"/>
              </w:rPr>
              <w:t>(B 146 · P 67)</w:t>
            </w:r>
          </w:p>
        </w:tc>
        <w:tc>
          <w:tcPr>
            <w:tcW w:type="dxa" w:w="14967"/>
          </w:tcPr>
          <w:p>
            <w:r>
              <w:rPr>
                <w:b w:val="0"/>
                <w:i w:val="0"/>
                <w:sz w:val="18"/>
              </w:rPr>
              <w:t>Explicar, con el modelo de la tectónica de placas, los patrones de distribución de la actividad geológica (volcanes y sismos), los tipos de interacción entre las placas (convergente, divergente y transformante) y su importancia en la teoría de la deriva continental.</w:t>
            </w:r>
          </w:p>
        </w:tc>
      </w:tr>
      <w:tr>
        <w:trPr>
          <w:cantSplit/>
        </w:trPr>
        <w:tc>
          <w:tcPr>
            <w:tcW w:type="dxa" w:w="1701"/>
          </w:tcPr>
          <w:p>
            <w:r>
              <w:rPr>
                <w:b/>
                <w:i w:val="0"/>
                <w:sz w:val="18"/>
              </w:rPr>
              <w:t>OA 10</w:t>
            </w:r>
          </w:p>
          <w:p>
            <w:r>
              <w:rPr>
                <w:b w:val="0"/>
                <w:i w:val="0"/>
                <w:color w:val="595959"/>
                <w:sz w:val="14"/>
              </w:rPr>
              <w:t>(B 146 · P 67)</w:t>
            </w:r>
          </w:p>
        </w:tc>
        <w:tc>
          <w:tcPr>
            <w:tcW w:type="dxa" w:w="14967"/>
          </w:tcPr>
          <w:p>
            <w:r>
              <w:rPr>
                <w:b w:val="0"/>
                <w:i w:val="0"/>
                <w:sz w:val="18"/>
              </w:rPr>
              <w:t>Explicar, sobre la base de evidencias y por medio de modelos, la actividad volcánica y sus consecuencias en la naturaleza y la sociedad.</w:t>
            </w:r>
          </w:p>
        </w:tc>
      </w:tr>
      <w:tr>
        <w:trPr>
          <w:cantSplit/>
        </w:trPr>
        <w:tc>
          <w:tcPr>
            <w:tcW w:type="dxa" w:w="1701"/>
          </w:tcPr>
          <w:p>
            <w:r>
              <w:rPr>
                <w:b/>
                <w:i w:val="0"/>
                <w:sz w:val="18"/>
              </w:rPr>
              <w:t>OA 11</w:t>
            </w:r>
          </w:p>
          <w:p>
            <w:r>
              <w:rPr>
                <w:b w:val="0"/>
                <w:i w:val="0"/>
                <w:color w:val="595959"/>
                <w:sz w:val="14"/>
              </w:rPr>
              <w:t>(B 146 · P 67)</w:t>
            </w:r>
          </w:p>
        </w:tc>
        <w:tc>
          <w:tcPr>
            <w:tcW w:type="dxa" w:w="14967"/>
          </w:tcPr>
          <w:p>
            <w:r>
              <w:rPr>
                <w:b w:val="0"/>
                <w:i w:val="0"/>
                <w:sz w:val="18"/>
              </w:rPr>
              <w:t>Crear modelos que expliquen el ciclo de las rocas, la formación y modificación de las rocas ígneas, metamórficas y sedimentarias, en función de la temperatura, la presión y la erosión.</w:t>
            </w:r>
          </w:p>
        </w:tc>
      </w:tr>
      <w:tr>
        <w:trPr>
          <w:cantSplit/>
        </w:trPr>
        <w:tc>
          <w:tcPr>
            <w:tcW w:type="dxa" w:w="1701"/>
          </w:tcPr>
          <w:p>
            <w:r>
              <w:rPr>
                <w:b/>
                <w:i w:val="0"/>
                <w:sz w:val="18"/>
              </w:rPr>
              <w:t>OA 12</w:t>
            </w:r>
          </w:p>
          <w:p>
            <w:r>
              <w:rPr>
                <w:b w:val="0"/>
                <w:i w:val="0"/>
                <w:color w:val="595959"/>
                <w:sz w:val="14"/>
              </w:rPr>
              <w:t>(B 146 · P 67)</w:t>
            </w:r>
          </w:p>
        </w:tc>
        <w:tc>
          <w:tcPr>
            <w:tcW w:type="dxa" w:w="14967"/>
          </w:tcPr>
          <w:p>
            <w:r>
              <w:rPr>
                <w:b w:val="0"/>
                <w:i w:val="0"/>
                <w:sz w:val="18"/>
              </w:rPr>
              <w:t>Demostrar, por medio de modelos, que comprenden que el clima en la Tierra, tanto local como global, es dinámico y se produce por la interacción de múltiples variables, como la presión, la temperatura y la humedad atmosférica, la circulación de la atmósfera y del agua, la posición geográfica, la rotación y la traslación de la Tierra.</w:t>
            </w:r>
          </w:p>
        </w:tc>
      </w:tr>
      <w:tr>
        <w:tc>
          <w:tcPr>
            <w:tcW w:type="dxa" w:w="16668"/>
            <w:gridSpan w:val="2"/>
          </w:tcPr>
          <w:p>
            <w:r/>
            <w:r>
              <w:rPr>
                <w:b/>
                <w:i w:val="0"/>
                <w:sz w:val="18"/>
              </w:rPr>
              <w:t>QUÍMICA</w:t>
            </w:r>
          </w:p>
        </w:tc>
      </w:tr>
      <w:tr>
        <w:trPr>
          <w:cantSplit/>
        </w:trPr>
        <w:tc>
          <w:tcPr>
            <w:tcW w:type="dxa" w:w="1701"/>
          </w:tcPr>
          <w:p>
            <w:r>
              <w:rPr>
                <w:b/>
                <w:i w:val="0"/>
                <w:sz w:val="18"/>
              </w:rPr>
              <w:t>OA 13</w:t>
            </w:r>
          </w:p>
          <w:p>
            <w:r>
              <w:rPr>
                <w:b w:val="0"/>
                <w:i w:val="0"/>
                <w:color w:val="595959"/>
                <w:sz w:val="14"/>
              </w:rPr>
              <w:t>(B 147 · P 66)</w:t>
            </w:r>
          </w:p>
        </w:tc>
        <w:tc>
          <w:tcPr>
            <w:tcW w:type="dxa" w:w="14967"/>
          </w:tcPr>
          <w:p>
            <w:r>
              <w:rPr>
                <w:b w:val="0"/>
                <w:i w:val="0"/>
                <w:sz w:val="18"/>
              </w:rPr>
              <w:t>Investigar experimentalmente y explicar el comportamiento de gases ideales en situaciones cotidianas, considerando:</w:t>
            </w:r>
          </w:p>
          <w:p>
            <w:pPr>
              <w:pStyle w:val="ListBullet"/>
              <w:spacing w:after="20"/>
              <w:ind w:left="198" w:hanging="170"/>
            </w:pPr>
            <w:r>
              <w:rPr>
                <w:b w:val="0"/>
                <w:i w:val="0"/>
                <w:sz w:val="18"/>
              </w:rPr>
              <w:t>Factores como presión, volumen y temperatura.</w:t>
            </w:r>
          </w:p>
          <w:p>
            <w:pPr>
              <w:pStyle w:val="ListBullet"/>
              <w:spacing w:after="20"/>
              <w:ind w:left="198" w:hanging="170"/>
            </w:pPr>
            <w:r>
              <w:rPr>
                <w:b w:val="0"/>
                <w:i w:val="0"/>
                <w:sz w:val="18"/>
              </w:rPr>
              <w:t>Las leyes que los modelan.</w:t>
            </w:r>
          </w:p>
          <w:p>
            <w:pPr>
              <w:pStyle w:val="ListBullet"/>
              <w:spacing w:after="20"/>
              <w:ind w:left="198" w:hanging="170"/>
            </w:pPr>
            <w:r>
              <w:rPr>
                <w:b w:val="0"/>
                <w:i w:val="0"/>
                <w:sz w:val="18"/>
              </w:rPr>
              <w:t>La teoría cinético-molecular.</w:t>
            </w:r>
          </w:p>
        </w:tc>
      </w:tr>
      <w:tr>
        <w:trPr>
          <w:cantSplit/>
        </w:trPr>
        <w:tc>
          <w:tcPr>
            <w:tcW w:type="dxa" w:w="1701"/>
          </w:tcPr>
          <w:p>
            <w:r>
              <w:rPr>
                <w:b/>
                <w:i w:val="0"/>
                <w:sz w:val="18"/>
              </w:rPr>
              <w:t>OA 14</w:t>
            </w:r>
          </w:p>
          <w:p>
            <w:r>
              <w:rPr>
                <w:b w:val="0"/>
                <w:i w:val="0"/>
                <w:color w:val="595959"/>
                <w:sz w:val="14"/>
              </w:rPr>
              <w:t>(B 147 · P 66)</w:t>
            </w:r>
          </w:p>
        </w:tc>
        <w:tc>
          <w:tcPr>
            <w:tcW w:type="dxa" w:w="14967"/>
          </w:tcPr>
          <w:p>
            <w:r>
              <w:rPr>
                <w:b w:val="0"/>
                <w:i w:val="0"/>
                <w:sz w:val="18"/>
              </w:rPr>
              <w:t>Investigar experimentalmente y explicar la clasificación de la materia en sustancias puras y mezclas (homogéneas y heterogéneas), los procedimientos de separación de mezclas (decantación, filtración, tamizado y destilación), considerando su aplicación industrial en la metalurgia, la minería y el tratamiento de aguas servidas, entre otros.</w:t>
            </w:r>
          </w:p>
        </w:tc>
      </w:tr>
      <w:tr>
        <w:trPr>
          <w:cantSplit/>
        </w:trPr>
        <w:tc>
          <w:tcPr>
            <w:tcW w:type="dxa" w:w="1701"/>
          </w:tcPr>
          <w:p>
            <w:r>
              <w:rPr>
                <w:b/>
                <w:i w:val="0"/>
                <w:sz w:val="18"/>
              </w:rPr>
              <w:t>OA 15</w:t>
            </w:r>
          </w:p>
          <w:p>
            <w:r>
              <w:rPr>
                <w:b w:val="0"/>
                <w:i w:val="0"/>
                <w:color w:val="595959"/>
                <w:sz w:val="14"/>
              </w:rPr>
              <w:t>(B 147 · P 66)</w:t>
            </w:r>
          </w:p>
        </w:tc>
        <w:tc>
          <w:tcPr>
            <w:tcW w:type="dxa" w:w="14967"/>
          </w:tcPr>
          <w:p>
            <w:r>
              <w:rPr>
                <w:b w:val="0"/>
                <w:i w:val="0"/>
                <w:sz w:val="18"/>
              </w:rPr>
              <w:t>Investigar experimentalmente los cambios de la materia y argumentar con evidencia empírica que estos pueden ser físicos o químicos.</w:t>
            </w:r>
          </w:p>
        </w:tc>
      </w:tr>
      <w:tr>
        <w:trPr>
          <w:cantSplit/>
        </w:trPr>
        <w:tc>
          <w:tcPr>
            <w:tcW w:type="dxa" w:w="1701"/>
          </w:tcPr>
          <w:p>
            <w:r>
              <w:rPr>
                <w:b/>
                <w:i w:val="0"/>
                <w:sz w:val="18"/>
              </w:rPr>
              <w:t>OA a</w:t>
            </w:r>
          </w:p>
          <w:p>
            <w:r>
              <w:rPr>
                <w:b w:val="0"/>
                <w:i w:val="0"/>
                <w:color w:val="595959"/>
                <w:sz w:val="14"/>
              </w:rPr>
              <w:t>(P 70)</w:t>
            </w:r>
          </w:p>
        </w:tc>
        <w:tc>
          <w:tcPr>
            <w:tcW w:type="dxa" w:w="14967"/>
          </w:tcPr>
          <w:p>
            <w:r>
              <w:rPr>
                <w:b w:val="0"/>
                <w:i w:val="0"/>
                <w:sz w:val="18"/>
              </w:rPr>
              <w:t>Observar y describir objetos, procesos y fenómenos del mundo natural y tecnológico, usando los sentidos.</w:t>
            </w:r>
          </w:p>
        </w:tc>
      </w:tr>
      <w:tr>
        <w:trPr>
          <w:cantSplit/>
        </w:trPr>
        <w:tc>
          <w:tcPr>
            <w:tcW w:type="dxa" w:w="1701"/>
          </w:tcPr>
          <w:p>
            <w:r>
              <w:rPr>
                <w:b/>
                <w:i w:val="0"/>
                <w:sz w:val="18"/>
              </w:rPr>
              <w:t>OA b</w:t>
            </w:r>
          </w:p>
          <w:p>
            <w:r>
              <w:rPr>
                <w:b w:val="0"/>
                <w:i w:val="0"/>
                <w:color w:val="595959"/>
                <w:sz w:val="14"/>
              </w:rPr>
              <w:t>(P 70)</w:t>
            </w:r>
          </w:p>
        </w:tc>
        <w:tc>
          <w:tcPr>
            <w:tcW w:type="dxa" w:w="14967"/>
          </w:tcPr>
          <w:p>
            <w:r>
              <w:rPr>
                <w:b w:val="0"/>
                <w:i w:val="0"/>
                <w:sz w:val="18"/>
              </w:rPr>
              <w:t>Identificar preguntas y/o problemas que puedan ser resueltos mediante una investigación científica*.</w:t>
            </w:r>
          </w:p>
        </w:tc>
      </w:tr>
      <w:tr>
        <w:trPr>
          <w:cantSplit/>
        </w:trPr>
        <w:tc>
          <w:tcPr>
            <w:tcW w:type="dxa" w:w="1701"/>
          </w:tcPr>
          <w:p>
            <w:r>
              <w:rPr>
                <w:b/>
                <w:i w:val="0"/>
                <w:sz w:val="18"/>
              </w:rPr>
              <w:t>OA c</w:t>
            </w:r>
          </w:p>
          <w:p>
            <w:r>
              <w:rPr>
                <w:b w:val="0"/>
                <w:i w:val="0"/>
                <w:color w:val="595959"/>
                <w:sz w:val="14"/>
              </w:rPr>
              <w:t>(P 70)</w:t>
            </w:r>
          </w:p>
        </w:tc>
        <w:tc>
          <w:tcPr>
            <w:tcW w:type="dxa" w:w="14967"/>
          </w:tcPr>
          <w:p>
            <w:r>
              <w:rPr>
                <w:b w:val="0"/>
                <w:i w:val="0"/>
                <w:sz w:val="18"/>
              </w:rPr>
              <w:t>Formular y fundamentar predicciones basadas en conocimiento científico.</w:t>
            </w:r>
          </w:p>
        </w:tc>
      </w:tr>
      <w:tr>
        <w:trPr>
          <w:cantSplit/>
        </w:trPr>
        <w:tc>
          <w:tcPr>
            <w:tcW w:type="dxa" w:w="1701"/>
          </w:tcPr>
          <w:p>
            <w:r>
              <w:rPr>
                <w:b/>
                <w:i w:val="0"/>
                <w:sz w:val="18"/>
              </w:rPr>
              <w:t>OA d</w:t>
            </w:r>
          </w:p>
          <w:p>
            <w:r>
              <w:rPr>
                <w:b w:val="0"/>
                <w:i w:val="0"/>
                <w:color w:val="595959"/>
                <w:sz w:val="14"/>
              </w:rPr>
              <w:t>(P 71)</w:t>
            </w:r>
          </w:p>
        </w:tc>
        <w:tc>
          <w:tcPr>
            <w:tcW w:type="dxa" w:w="14967"/>
          </w:tcPr>
          <w:p>
            <w:r>
              <w:rPr>
                <w:b w:val="0"/>
                <w:i w:val="0"/>
                <w:sz w:val="18"/>
              </w:rPr>
              <w:t>Planificar una investigación experimental sobre la base de una pregunta y/o problema y diversas fuentes de información científica, considerando:</w:t>
            </w:r>
          </w:p>
          <w:p>
            <w:pPr>
              <w:pStyle w:val="ListBullet"/>
              <w:spacing w:after="20"/>
              <w:ind w:left="198" w:hanging="170"/>
            </w:pPr>
            <w:r>
              <w:rPr>
                <w:b w:val="0"/>
                <w:i w:val="0"/>
                <w:sz w:val="18"/>
              </w:rPr>
              <w:t>la selección de instrumentos y materiales a usar de acuerdo a las variables presentes en el estudio.</w:t>
            </w:r>
          </w:p>
          <w:p>
            <w:pPr>
              <w:pStyle w:val="ListBullet"/>
              <w:spacing w:after="20"/>
              <w:ind w:left="198" w:hanging="170"/>
            </w:pPr>
            <w:r>
              <w:rPr>
                <w:b w:val="0"/>
                <w:i w:val="0"/>
                <w:sz w:val="18"/>
              </w:rPr>
              <w:t>La manipulación de una variable.</w:t>
            </w:r>
          </w:p>
          <w:p>
            <w:pPr>
              <w:pStyle w:val="ListBullet"/>
              <w:spacing w:after="20"/>
              <w:ind w:left="198" w:hanging="170"/>
            </w:pPr>
            <w:r>
              <w:rPr>
                <w:b w:val="0"/>
                <w:i w:val="0"/>
                <w:sz w:val="18"/>
              </w:rPr>
              <w:t>La explicación clara de procedimientos posibles de replicar.</w:t>
            </w:r>
          </w:p>
        </w:tc>
      </w:tr>
      <w:tr>
        <w:trPr>
          <w:cantSplit/>
        </w:trPr>
        <w:tc>
          <w:tcPr>
            <w:tcW w:type="dxa" w:w="1701"/>
          </w:tcPr>
          <w:p>
            <w:r>
              <w:rPr>
                <w:b/>
                <w:i w:val="0"/>
                <w:sz w:val="18"/>
              </w:rPr>
              <w:t>OA e</w:t>
            </w:r>
          </w:p>
          <w:p>
            <w:r>
              <w:rPr>
                <w:b w:val="0"/>
                <w:i w:val="0"/>
                <w:color w:val="595959"/>
                <w:sz w:val="14"/>
              </w:rPr>
              <w:t>(P 71)</w:t>
            </w:r>
          </w:p>
        </w:tc>
        <w:tc>
          <w:tcPr>
            <w:tcW w:type="dxa" w:w="14967"/>
          </w:tcPr>
          <w:p>
            <w:r>
              <w:rPr>
                <w:b w:val="0"/>
                <w:i w:val="0"/>
                <w:sz w:val="18"/>
              </w:rPr>
              <w:t>Planificar una investigación no experimental y/o documental a partir de una pregunta científica y de diversas fuentes de información, e identificar las ideas centrales de un documento.</w:t>
            </w:r>
          </w:p>
        </w:tc>
      </w:tr>
      <w:tr>
        <w:trPr>
          <w:cantSplit/>
        </w:trPr>
        <w:tc>
          <w:tcPr>
            <w:tcW w:type="dxa" w:w="1701"/>
          </w:tcPr>
          <w:p>
            <w:r>
              <w:rPr>
                <w:b/>
                <w:i w:val="0"/>
                <w:sz w:val="18"/>
              </w:rPr>
              <w:t>OA f</w:t>
            </w:r>
          </w:p>
          <w:p>
            <w:r>
              <w:rPr>
                <w:b w:val="0"/>
                <w:i w:val="0"/>
                <w:color w:val="595959"/>
                <w:sz w:val="14"/>
              </w:rPr>
              <w:t>(P 72)</w:t>
            </w:r>
          </w:p>
        </w:tc>
        <w:tc>
          <w:tcPr>
            <w:tcW w:type="dxa" w:w="14967"/>
          </w:tcPr>
          <w:p>
            <w:r>
              <w:rPr>
                <w:b w:val="0"/>
                <w:i w:val="0"/>
                <w:sz w:val="18"/>
              </w:rPr>
              <w:t>Llevar a cabo el plan de una investigación científica*, midiendo y registrando evidencias con el apoyo de las TIC.</w:t>
            </w:r>
          </w:p>
        </w:tc>
      </w:tr>
      <w:tr>
        <w:trPr>
          <w:cantSplit/>
        </w:trPr>
        <w:tc>
          <w:tcPr>
            <w:tcW w:type="dxa" w:w="1701"/>
          </w:tcPr>
          <w:p>
            <w:r>
              <w:rPr>
                <w:b/>
                <w:i w:val="0"/>
                <w:sz w:val="18"/>
              </w:rPr>
              <w:t>OA g</w:t>
            </w:r>
          </w:p>
          <w:p>
            <w:r>
              <w:rPr>
                <w:b w:val="0"/>
                <w:i w:val="0"/>
                <w:color w:val="595959"/>
                <w:sz w:val="14"/>
              </w:rPr>
              <w:t>(P 72)</w:t>
            </w:r>
          </w:p>
        </w:tc>
        <w:tc>
          <w:tcPr>
            <w:tcW w:type="dxa" w:w="14967"/>
          </w:tcPr>
          <w:p>
            <w:r>
              <w:rPr>
                <w:b w:val="0"/>
                <w:i w:val="0"/>
                <w:sz w:val="18"/>
              </w:rPr>
              <w:t>Organizar el trabajo colaborativo, asignando responsabilidades, comunicándose en forma efectiva y siguiendo normas de seguridad.</w:t>
            </w:r>
          </w:p>
        </w:tc>
      </w:tr>
      <w:tr>
        <w:trPr>
          <w:cantSplit/>
        </w:trPr>
        <w:tc>
          <w:tcPr>
            <w:tcW w:type="dxa" w:w="1701"/>
          </w:tcPr>
          <w:p>
            <w:r>
              <w:rPr>
                <w:b/>
                <w:i w:val="0"/>
                <w:sz w:val="18"/>
              </w:rPr>
              <w:t>OA h</w:t>
            </w:r>
          </w:p>
          <w:p>
            <w:r>
              <w:rPr>
                <w:b w:val="0"/>
                <w:i w:val="0"/>
                <w:color w:val="595959"/>
                <w:sz w:val="14"/>
              </w:rPr>
              <w:t>(P 73)</w:t>
            </w:r>
          </w:p>
        </w:tc>
        <w:tc>
          <w:tcPr>
            <w:tcW w:type="dxa" w:w="14967"/>
          </w:tcPr>
          <w:p>
            <w:r>
              <w:rPr>
                <w:b w:val="0"/>
                <w:i w:val="0"/>
                <w:sz w:val="18"/>
              </w:rPr>
              <w:t>Organizar y presentar datos cuantitativos y/o cualitativos en tablas, gráficos, modelos u otras representaciones, con la ayuda de las TIC.</w:t>
            </w:r>
          </w:p>
        </w:tc>
      </w:tr>
      <w:tr>
        <w:trPr>
          <w:cantSplit/>
        </w:trPr>
        <w:tc>
          <w:tcPr>
            <w:tcW w:type="dxa" w:w="1701"/>
          </w:tcPr>
          <w:p>
            <w:r>
              <w:rPr>
                <w:b/>
                <w:i w:val="0"/>
                <w:sz w:val="18"/>
              </w:rPr>
              <w:t>OA i</w:t>
            </w:r>
          </w:p>
          <w:p>
            <w:r>
              <w:rPr>
                <w:b w:val="0"/>
                <w:i w:val="0"/>
                <w:color w:val="595959"/>
                <w:sz w:val="14"/>
              </w:rPr>
              <w:t>(P 73)</w:t>
            </w:r>
          </w:p>
        </w:tc>
        <w:tc>
          <w:tcPr>
            <w:tcW w:type="dxa" w:w="14967"/>
          </w:tcPr>
          <w:p>
            <w:r>
              <w:rPr>
                <w:b w:val="0"/>
                <w:i w:val="0"/>
                <w:sz w:val="18"/>
              </w:rPr>
              <w:t>Crear, seleccionar, usar y ajustar modelos simples, en forma colaborativa, para apoyar explicaciones de eventos frecuentes y regulares.</w:t>
            </w:r>
          </w:p>
        </w:tc>
      </w:tr>
      <w:tr>
        <w:trPr>
          <w:cantSplit/>
        </w:trPr>
        <w:tc>
          <w:tcPr>
            <w:tcW w:type="dxa" w:w="1701"/>
          </w:tcPr>
          <w:p>
            <w:r>
              <w:rPr>
                <w:b/>
                <w:i w:val="0"/>
                <w:sz w:val="18"/>
              </w:rPr>
              <w:t>OA j</w:t>
            </w:r>
          </w:p>
          <w:p>
            <w:r>
              <w:rPr>
                <w:b w:val="0"/>
                <w:i w:val="0"/>
                <w:color w:val="595959"/>
                <w:sz w:val="14"/>
              </w:rPr>
              <w:t>(P 73)</w:t>
            </w:r>
          </w:p>
        </w:tc>
        <w:tc>
          <w:tcPr>
            <w:tcW w:type="dxa" w:w="14967"/>
          </w:tcPr>
          <w:p>
            <w:r>
              <w:rPr>
                <w:b w:val="0"/>
                <w:i w:val="0"/>
                <w:sz w:val="18"/>
              </w:rPr>
              <w:t>Examinar los resultados de una investigación científica* para plantear inferencias y conclusiones:</w:t>
            </w:r>
          </w:p>
          <w:p>
            <w:pPr>
              <w:pStyle w:val="ListBullet"/>
              <w:spacing w:after="20"/>
              <w:ind w:left="198" w:hanging="170"/>
            </w:pPr>
            <w:r>
              <w:rPr>
                <w:b w:val="0"/>
                <w:i w:val="0"/>
                <w:sz w:val="18"/>
              </w:rPr>
              <w:t>Determinando relaciones, tendencias y patrones de la variable en estudio.</w:t>
            </w:r>
          </w:p>
          <w:p>
            <w:pPr>
              <w:pStyle w:val="ListBullet"/>
              <w:spacing w:after="20"/>
              <w:ind w:left="198" w:hanging="170"/>
            </w:pPr>
            <w:r>
              <w:rPr>
                <w:b w:val="0"/>
                <w:i w:val="0"/>
                <w:sz w:val="18"/>
              </w:rPr>
              <w:t>Usando expresiones y operaciones matemáticas cuando sea pertinente, por ejemplo: proporciones, porcentaje, escalas, unidades, notación científica, frecuencias y medidas de tendencia central (promedio, mediana y moda).</w:t>
            </w:r>
          </w:p>
        </w:tc>
      </w:tr>
      <w:tr>
        <w:trPr>
          <w:cantSplit/>
        </w:trPr>
        <w:tc>
          <w:tcPr>
            <w:tcW w:type="dxa" w:w="1701"/>
          </w:tcPr>
          <w:p>
            <w:r>
              <w:rPr>
                <w:b/>
                <w:i w:val="0"/>
                <w:sz w:val="18"/>
              </w:rPr>
              <w:t>OA k</w:t>
            </w:r>
          </w:p>
          <w:p>
            <w:r>
              <w:rPr>
                <w:b w:val="0"/>
                <w:i w:val="0"/>
                <w:color w:val="595959"/>
                <w:sz w:val="14"/>
              </w:rPr>
              <w:t>(P 74)</w:t>
            </w:r>
          </w:p>
        </w:tc>
        <w:tc>
          <w:tcPr>
            <w:tcW w:type="dxa" w:w="14967"/>
          </w:tcPr>
          <w:p>
            <w:r>
              <w:rPr>
                <w:b w:val="0"/>
                <w:i w:val="0"/>
                <w:sz w:val="18"/>
              </w:rPr>
              <w:t>Evaluar la investigación científica* con el fin de perfeccionarla, considerando:</w:t>
            </w:r>
          </w:p>
          <w:p>
            <w:pPr>
              <w:pStyle w:val="ListBullet"/>
              <w:spacing w:after="20"/>
              <w:ind w:left="198" w:hanging="170"/>
            </w:pPr>
            <w:r>
              <w:rPr>
                <w:b w:val="0"/>
                <w:i w:val="0"/>
                <w:sz w:val="18"/>
              </w:rPr>
              <w:t>La validez y confiabilidad de los resultados.</w:t>
            </w:r>
          </w:p>
          <w:p>
            <w:pPr>
              <w:pStyle w:val="ListBullet"/>
              <w:spacing w:after="20"/>
              <w:ind w:left="198" w:hanging="170"/>
            </w:pPr>
            <w:r>
              <w:rPr>
                <w:b w:val="0"/>
                <w:i w:val="0"/>
                <w:sz w:val="18"/>
              </w:rPr>
              <w:t>La replicabilidad de los procedimientos.</w:t>
            </w:r>
          </w:p>
          <w:p>
            <w:pPr>
              <w:pStyle w:val="ListBullet"/>
              <w:spacing w:after="20"/>
              <w:ind w:left="198" w:hanging="170"/>
            </w:pPr>
            <w:r>
              <w:rPr>
                <w:b w:val="0"/>
                <w:i w:val="0"/>
                <w:sz w:val="18"/>
              </w:rPr>
              <w:t>Las posibles aplicaciones tecnológicas.</w:t>
            </w:r>
          </w:p>
          <w:p>
            <w:pPr>
              <w:pStyle w:val="ListBullet"/>
              <w:spacing w:after="20"/>
              <w:ind w:left="198" w:hanging="170"/>
            </w:pPr>
            <w:r>
              <w:rPr>
                <w:b w:val="0"/>
                <w:i w:val="0"/>
                <w:sz w:val="18"/>
              </w:rPr>
              <w:t>El desempeño personal y grupal.</w:t>
            </w:r>
          </w:p>
        </w:tc>
      </w:tr>
      <w:tr>
        <w:trPr>
          <w:cantSplit/>
        </w:trPr>
        <w:tc>
          <w:tcPr>
            <w:tcW w:type="dxa" w:w="1701"/>
          </w:tcPr>
          <w:p>
            <w:r>
              <w:rPr>
                <w:b/>
                <w:i w:val="0"/>
                <w:sz w:val="18"/>
              </w:rPr>
              <w:t>OA l</w:t>
            </w:r>
          </w:p>
          <w:p>
            <w:r>
              <w:rPr>
                <w:b w:val="0"/>
                <w:i w:val="0"/>
                <w:color w:val="595959"/>
                <w:sz w:val="14"/>
              </w:rPr>
              <w:t>(P 74)</w:t>
            </w:r>
          </w:p>
        </w:tc>
        <w:tc>
          <w:tcPr>
            <w:tcW w:type="dxa" w:w="14967"/>
          </w:tcPr>
          <w:p>
            <w:r>
              <w:rPr>
                <w:b w:val="0"/>
                <w:i w:val="0"/>
                <w:sz w:val="18"/>
              </w:rPr>
              <w:t>Comunicar y explicar conocimientos provenientes de investigaciones científicas*, en forma oral y escrita, incluyendo tablas, gráficos, modelos y TIC.</w:t>
            </w:r>
          </w:p>
        </w:tc>
      </w:tr>
      <w:tr>
        <w:trPr>
          <w:cantSplit/>
        </w:trPr>
        <w:tc>
          <w:tcPr>
            <w:tcW w:type="dxa" w:w="1701"/>
          </w:tcPr>
          <w:p>
            <w:r>
              <w:rPr>
                <w:b/>
                <w:i w:val="0"/>
                <w:sz w:val="18"/>
              </w:rPr>
              <w:t>OA m</w:t>
            </w:r>
          </w:p>
          <w:p>
            <w:r>
              <w:rPr>
                <w:b w:val="0"/>
                <w:i w:val="0"/>
                <w:color w:val="595959"/>
                <w:sz w:val="14"/>
              </w:rPr>
              <w:t>(P 74)</w:t>
            </w:r>
          </w:p>
        </w:tc>
        <w:tc>
          <w:tcPr>
            <w:tcW w:type="dxa" w:w="14967"/>
          </w:tcPr>
          <w:p>
            <w:r>
              <w:rPr>
                <w:b w:val="0"/>
                <w:i w:val="0"/>
                <w:sz w:val="18"/>
              </w:rPr>
              <w:t>Discutir en forma oral y escrita las ideas para diseñar una investigación científica*, las posibles aplicaciones y soluciones a problemas tecnológicos, las teorías, las predicciones y las conclusiones.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75)</w:t>
            </w:r>
          </w:p>
        </w:tc>
        <w:tc>
          <w:tcPr>
            <w:tcW w:type="dxa" w:w="14967"/>
          </w:tcPr>
          <w:p>
            <w:r>
              <w:rPr>
                <w:b w:val="0"/>
                <w:i w:val="0"/>
                <w:sz w:val="18"/>
              </w:rPr>
              <w:t>Mostrar curiosidad, creatividad e interés por conocer y comprender los fenómenos del entorno natural y tecnológico, disfrutando del crecimiento intelectual que genera el conocimiento científico y valorando su importancia para el desarrollo de la sociedad.</w:t>
            </w:r>
          </w:p>
        </w:tc>
      </w:tr>
      <w:tr>
        <w:trPr>
          <w:cantSplit/>
        </w:trPr>
        <w:tc>
          <w:tcPr>
            <w:tcW w:type="dxa" w:w="1701"/>
          </w:tcPr>
          <w:p>
            <w:r>
              <w:rPr>
                <w:b/>
                <w:i w:val="0"/>
                <w:sz w:val="18"/>
              </w:rPr>
              <w:t>OA B</w:t>
            </w:r>
          </w:p>
          <w:p>
            <w:r>
              <w:rPr>
                <w:b w:val="0"/>
                <w:i w:val="0"/>
                <w:color w:val="595959"/>
                <w:sz w:val="14"/>
              </w:rPr>
              <w:t>(P 76)</w:t>
            </w:r>
          </w:p>
        </w:tc>
        <w:tc>
          <w:tcPr>
            <w:tcW w:type="dxa" w:w="14967"/>
          </w:tcPr>
          <w:p>
            <w:r>
              <w:rPr>
                <w:b w:val="0"/>
                <w:i w:val="0"/>
                <w:sz w:val="18"/>
              </w:rPr>
              <w:t>Esforzarse y perseverar en el trabajo personal entendiendo que los logros se obtienen solo después de un trabajo riguroso, y que los datos empíricamente confiables se obtienen si se trabaja con precisión y orden.</w:t>
            </w:r>
          </w:p>
        </w:tc>
      </w:tr>
      <w:tr>
        <w:trPr>
          <w:cantSplit/>
        </w:trPr>
        <w:tc>
          <w:tcPr>
            <w:tcW w:type="dxa" w:w="1701"/>
          </w:tcPr>
          <w:p>
            <w:r>
              <w:rPr>
                <w:b/>
                <w:i w:val="0"/>
                <w:sz w:val="18"/>
              </w:rPr>
              <w:t>OA C</w:t>
            </w:r>
          </w:p>
          <w:p>
            <w:r>
              <w:rPr>
                <w:b w:val="0"/>
                <w:i w:val="0"/>
                <w:color w:val="595959"/>
                <w:sz w:val="14"/>
              </w:rPr>
              <w:t>(P 76)</w:t>
            </w:r>
          </w:p>
        </w:tc>
        <w:tc>
          <w:tcPr>
            <w:tcW w:type="dxa" w:w="14967"/>
          </w:tcPr>
          <w:p>
            <w:r>
              <w:rPr>
                <w:b w:val="0"/>
                <w:i w:val="0"/>
                <w:sz w:val="18"/>
              </w:rPr>
              <w:t>Trabajar responsablemente en forma proactiva y colaborativa, considerando y respetando los variados aportes del equipo y manifestando disposición a entender los argumentos de otros en las soluciones a problemas científicos.</w:t>
            </w:r>
          </w:p>
        </w:tc>
      </w:tr>
      <w:tr>
        <w:trPr>
          <w:cantSplit/>
        </w:trPr>
        <w:tc>
          <w:tcPr>
            <w:tcW w:type="dxa" w:w="1701"/>
          </w:tcPr>
          <w:p>
            <w:r>
              <w:rPr>
                <w:b/>
                <w:i w:val="0"/>
                <w:sz w:val="18"/>
              </w:rPr>
              <w:t>OA D</w:t>
            </w:r>
          </w:p>
          <w:p>
            <w:r>
              <w:rPr>
                <w:b w:val="0"/>
                <w:i w:val="0"/>
                <w:color w:val="595959"/>
                <w:sz w:val="14"/>
              </w:rPr>
              <w:t>(P 77)</w:t>
            </w:r>
          </w:p>
        </w:tc>
        <w:tc>
          <w:tcPr>
            <w:tcW w:type="dxa" w:w="14967"/>
          </w:tcPr>
          <w:p>
            <w:r>
              <w:rPr>
                <w:b w:val="0"/>
                <w:i w:val="0"/>
                <w:sz w:val="18"/>
              </w:rPr>
              <w:t>Manifestar una actitud de pensamiento crítico, buscando rigurosidad y replicabilidad de las evidencias para sustentar las respuestas, las soluciones o las hipótesis.</w:t>
            </w:r>
          </w:p>
        </w:tc>
      </w:tr>
      <w:tr>
        <w:trPr>
          <w:cantSplit/>
        </w:trPr>
        <w:tc>
          <w:tcPr>
            <w:tcW w:type="dxa" w:w="1701"/>
          </w:tcPr>
          <w:p>
            <w:r>
              <w:rPr>
                <w:b/>
                <w:i w:val="0"/>
                <w:sz w:val="18"/>
              </w:rPr>
              <w:t>OA E</w:t>
            </w:r>
          </w:p>
          <w:p>
            <w:r>
              <w:rPr>
                <w:b w:val="0"/>
                <w:i w:val="0"/>
                <w:color w:val="595959"/>
                <w:sz w:val="14"/>
              </w:rPr>
              <w:t>(P 77)</w:t>
            </w:r>
          </w:p>
        </w:tc>
        <w:tc>
          <w:tcPr>
            <w:tcW w:type="dxa" w:w="14967"/>
          </w:tcPr>
          <w:p>
            <w:r>
              <w:rPr>
                <w:b w:val="0"/>
                <w:i w:val="0"/>
                <w:sz w:val="18"/>
              </w:rPr>
              <w:t>Usar de manera responsable y efectiva las tecnologías de la comunicación para favorecer las explicaciones científicas y el procesamiento de evidencias, dando crédito al trabajo de otros y respetando la propiedad y la privacidad de las personas.</w:t>
            </w:r>
          </w:p>
        </w:tc>
      </w:tr>
      <w:tr>
        <w:trPr>
          <w:cantSplit/>
        </w:trPr>
        <w:tc>
          <w:tcPr>
            <w:tcW w:type="dxa" w:w="1701"/>
          </w:tcPr>
          <w:p>
            <w:r>
              <w:rPr>
                <w:b/>
                <w:i w:val="0"/>
                <w:sz w:val="18"/>
              </w:rPr>
              <w:t>OA F</w:t>
            </w:r>
          </w:p>
          <w:p>
            <w:r>
              <w:rPr>
                <w:b w:val="0"/>
                <w:i w:val="0"/>
                <w:color w:val="595959"/>
                <w:sz w:val="14"/>
              </w:rPr>
              <w:t>(P 78)</w:t>
            </w:r>
          </w:p>
        </w:tc>
        <w:tc>
          <w:tcPr>
            <w:tcW w:type="dxa" w:w="14967"/>
          </w:tcPr>
          <w:p>
            <w:r>
              <w:rPr>
                <w:b w:val="0"/>
                <w:i w:val="0"/>
                <w:sz w:val="18"/>
              </w:rPr>
              <w:t>Demostrar valoración y cuidado por la salud y la integridad de las personas, evitando conductas de riesgo, considerando medidas de seguridad y tomando conciencia de las implicancias éticas de los avances científicos y tecnológicos.</w:t>
            </w:r>
          </w:p>
        </w:tc>
      </w:tr>
      <w:tr>
        <w:trPr>
          <w:cantSplit/>
        </w:trPr>
        <w:tc>
          <w:tcPr>
            <w:tcW w:type="dxa" w:w="1701"/>
          </w:tcPr>
          <w:p>
            <w:r>
              <w:rPr>
                <w:b/>
                <w:i w:val="0"/>
                <w:sz w:val="18"/>
              </w:rPr>
              <w:t>OA G</w:t>
            </w:r>
          </w:p>
          <w:p>
            <w:r>
              <w:rPr>
                <w:b w:val="0"/>
                <w:i w:val="0"/>
                <w:color w:val="595959"/>
                <w:sz w:val="14"/>
              </w:rPr>
              <w:t>(P 78)</w:t>
            </w:r>
          </w:p>
        </w:tc>
        <w:tc>
          <w:tcPr>
            <w:tcW w:type="dxa" w:w="14967"/>
          </w:tcPr>
          <w:p>
            <w:r>
              <w:rPr>
                <w:b w:val="0"/>
                <w:i w:val="0"/>
                <w:sz w:val="18"/>
              </w:rPr>
              <w:t>Reconocer la importancia del entorno natural y sus recursos, y manifestar conductas de cuidado y uso eficiente de los recursos naturales y energéticos en favor del desarrollo sustentable y la protección del ambiente.</w:t>
            </w:r>
          </w:p>
        </w:tc>
      </w:tr>
      <w:tr>
        <w:trPr>
          <w:cantSplit/>
        </w:trPr>
        <w:tc>
          <w:tcPr>
            <w:tcW w:type="dxa" w:w="1701"/>
          </w:tcPr>
          <w:p>
            <w:r>
              <w:rPr>
                <w:b/>
                <w:i w:val="0"/>
                <w:sz w:val="18"/>
              </w:rPr>
              <w:t>OA H</w:t>
            </w:r>
          </w:p>
          <w:p>
            <w:r>
              <w:rPr>
                <w:b w:val="0"/>
                <w:i w:val="0"/>
                <w:color w:val="595959"/>
                <w:sz w:val="14"/>
              </w:rPr>
              <w:t>(P 78)</w:t>
            </w:r>
          </w:p>
        </w:tc>
        <w:tc>
          <w:tcPr>
            <w:tcW w:type="dxa" w:w="14967"/>
          </w:tcPr>
          <w:p>
            <w:r>
              <w:rPr>
                <w:b w:val="0"/>
                <w:i w:val="0"/>
                <w:sz w:val="18"/>
              </w:rPr>
              <w:t>Demostrar valoración e interés por los aportes de hombres y mujeres al conocimiento científico y reconocer que desde siempre los seres humanos han intentado comprender el mundo.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Ciencias Naturales 7°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Ciencias Naturales · 7°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Ciencias Naturales · 7° básico</dc:title>
  <dc:subject/>
  <dc:creator/>
  <cp:keywords/>
  <dc:description>Generado el 2026-10-23 desde programa_ciencias_7basico.pdf (sha256 3c0979d3ac0a) con plantilla_anual.md v1.0.</dc:description>
  <cp:lastModifiedBy/>
  <cp:revision>1</cp:revision>
  <dcterms:created xsi:type="dcterms:W3CDTF">2013-12-23T23:15:00Z</dcterms:created>
  <dcterms:modified xsi:type="dcterms:W3CDTF">2013-12-23T23:15:00Z</dcterms:modified>
  <cp:category/>
</cp:coreProperties>
</file>