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b/>
          <w:i w:val="0"/>
          <w:sz w:val="32"/>
        </w:rPr>
        <w:t>PLANIFICACIÓN SEMESTRAL 2027</w:t>
      </w:r>
    </w:p>
    <w:p>
      <w:pPr>
        <w:spacing w:after="120"/>
        <w:jc w:val="center"/>
      </w:pPr>
      <w:r>
        <w:rPr>
          <w:b w:val="0"/>
          <w:i w:val="0"/>
          <w:color w:val="595959"/>
          <w:sz w:val="24"/>
        </w:rPr>
        <w:t>Ciencias para la Ciudadanía: Bienestar y Salud · 3° o 4° medio</w:t>
      </w:r>
    </w:p>
    <w:p>
      <w:pPr>
        <w:pStyle w:val="Heading1"/>
      </w:pPr>
      <w:r>
        <w:t>A. Identificación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814"/>
        <w:gridCol w:w="6520"/>
        <w:gridCol w:w="1814"/>
        <w:gridCol w:w="6520"/>
      </w:tblGrid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Establecimiento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Asignatura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Ciencias para la Ciudadanía: Bienestar y Salud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RBD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Curso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3° o 4° medio [Completar]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Comuna / Región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[Completar], 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Año escolar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2027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Docente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Horas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2 h pedagógicas semanales · 38 h en el semestre (19 semanas)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Correo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Marco curricular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Bases Curriculares DS 193/2019 · Programa de Estudio Decreto Exento N° 496/2020</w:t>
            </w:r>
          </w:p>
        </w:tc>
      </w:tr>
    </w:tbl>
    <w:p>
      <w:pPr>
        <w:pStyle w:val="Heading1"/>
      </w:pPr>
      <w:r>
        <w:t>B. Fundamentación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3402"/>
        <w:gridCol w:w="13266"/>
      </w:tblGrid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Propósito de la asignatura en el nivel</w:t>
            </w:r>
          </w:p>
        </w:tc>
        <w:tc>
          <w:tcPr>
            <w:tcW w:type="dxa" w:w="13266"/>
          </w:tcPr>
          <w:p>
            <w:r/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En este módulo semestral de 3° o 4° medio, los estudiantes analizan factores biológicos, ambientales y sociales que influyen en la salud, comparan la medicina convencional, la tradicional y la complementaria, y evalúan con evidencia situaciones de transmisión de agentes infecciosos y sus medidas de prevención, para tomar decisiones informadas sobre su salud y la de su comunidad.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Vínculo con el PEI / sellos del establecimiento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Diagnóstico del curso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</w:tbl>
    <w:p>
      <w:pPr>
        <w:pStyle w:val="Heading1"/>
      </w:pPr>
      <w:r>
        <w:t>C. Visión general del semestre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01"/>
        <w:gridCol w:w="5102"/>
        <w:gridCol w:w="5329"/>
        <w:gridCol w:w="2268"/>
        <w:gridCol w:w="2268"/>
      </w:tblGrid>
      <w:tr>
        <w:trPr>
          <w:tblHeader w:val="true"/>
          <w:cantSplit/>
        </w:trPr>
        <w:tc>
          <w:tcPr>
            <w:tcW w:type="dxa" w:w="1701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Semestre</w:t>
            </w:r>
          </w:p>
        </w:tc>
        <w:tc>
          <w:tcPr>
            <w:tcW w:type="dxa" w:w="5102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Unidad</w:t>
            </w:r>
          </w:p>
        </w:tc>
        <w:tc>
          <w:tcPr>
            <w:tcW w:type="dxa" w:w="5329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Período (sugerido)</w:t>
            </w:r>
          </w:p>
        </w:tc>
        <w:tc>
          <w:tcPr>
            <w:tcW w:type="dxa" w:w="2268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Semanas aprox.</w:t>
            </w:r>
          </w:p>
        </w:tc>
        <w:tc>
          <w:tcPr>
            <w:tcW w:type="dxa" w:w="2268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Horas pedagógicas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1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1: Salud humana y medicina: ¿Cómo contribuir a nuestra salud y a la de los demás?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1 a 10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10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20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1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2: Prevención de infecciones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11 a 19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18</w:t>
            </w:r>
          </w:p>
        </w:tc>
      </w:tr>
      <w:tr>
        <w:tc>
          <w:tcPr>
            <w:tcW w:type="dxa" w:w="14400"/>
            <w:gridSpan w:val="4"/>
          </w:tcPr>
          <w:p>
            <w:r/>
            <w:r>
              <w:rPr>
                <w:b/>
                <w:i w:val="0"/>
                <w:sz w:val="18"/>
              </w:rPr>
              <w:t>Total del semestre</w:t>
            </w:r>
          </w:p>
        </w:tc>
        <w:tc>
          <w:tcPr>
            <w:tcW w:type="dxa" w:w="2268"/>
          </w:tcPr>
          <w:p>
            <w:r>
              <w:rPr>
                <w:b/>
                <w:i w:val="0"/>
                <w:sz w:val="18"/>
              </w:rPr>
              <w:t>38</w:t>
            </w:r>
          </w:p>
        </w:tc>
      </w:tr>
    </w:tbl>
    <w:p>
      <w:pPr>
        <w:spacing w:after="0"/>
      </w:pPr>
      <w:r>
        <w:rPr>
          <w:b/>
          <w:i w:val="0"/>
          <w:sz w:val="16"/>
        </w:rPr>
        <w:t xml:space="preserve">Nota: </w:t>
      </w:r>
      <w:r>
        <w:rPr>
          <w:b w:val="0"/>
          <w:i w:val="0"/>
          <w:sz w:val="16"/>
        </w:rPr>
        <w:t xml:space="preserve">Horas por unidad según la sección «Visión global del año» del Programa. El Programa no indica semanas por unidad: el período se calculó repartiendo cada semestre según las horas. </w:t>
      </w:r>
      <w:r>
        <w:rPr>
          <w:b/>
          <w:i w:val="0"/>
          <w:sz w:val="16"/>
        </w:rPr>
        <w:t xml:space="preserve">Módulo semestral: </w:t>
      </w:r>
      <w:r>
        <w:rPr>
          <w:b w:val="0"/>
          <w:i w:val="0"/>
          <w:sz w:val="16"/>
        </w:rPr>
        <w:t xml:space="preserve">el establecimiento elige qué módulos dicta cada año y en qué semestre; las semanas están calculadas para el primer semestre y se corren al segundo si el módulo va ahí. </w:t>
      </w:r>
      <w:r>
        <w:rPr>
          <w:b/>
          <w:i w:val="0"/>
          <w:sz w:val="16"/>
        </w:rPr>
        <w:t xml:space="preserve">Calendario: </w:t>
      </w:r>
      <w:r>
        <w:rPr>
          <w:b w:val="0"/>
          <w:i w:val="0"/>
          <w:sz w:val="16"/>
        </w:rPr>
        <w:t>genérico de 38 semanas lectivas, 19 por semestre, numeradas de corrido en el año. Ajuste las semanas a las fechas del calendario escolar 2027 de la Seremi de Educación de su región (inicio y término de cada semestre y vacaciones de invierno).</w:t>
      </w:r>
    </w:p>
    <w:p>
      <w:pPr>
        <w:pStyle w:val="Heading1"/>
      </w:pPr>
      <w:r>
        <w:t>D. Planificación por unidad</w:t>
      </w:r>
    </w:p>
    <w:p>
      <w:pPr>
        <w:spacing w:after="80"/>
      </w:pPr>
      <w:r>
        <w:rPr>
          <w:b w:val="0"/>
          <w:i w:val="0"/>
          <w:sz w:val="16"/>
        </w:rPr>
        <w:t xml:space="preserve">Cada unidad indica los OA que trabaja según el Programa; el texto completo está en el Anexo G. </w:t>
      </w:r>
      <w:r>
        <w:rPr>
          <w:b w:val="0"/>
          <w:i w:val="0"/>
          <w:sz w:val="16"/>
        </w:rPr>
        <w:t xml:space="preserve">Los indicadores son los de la Actividad de evaluación con que el Programa cierra cada unidad (los Programas de 3° y 4° medio no traen indicadores por OA). Todo el texto en letra normal es literal del Programa o de las Bases; lo marcado como </w:t>
      </w:r>
      <w:r>
        <w:rPr>
          <w:b/>
          <w:i/>
          <w:color w:val="595959"/>
          <w:sz w:val="16"/>
        </w:rPr>
        <w:t>Sugerencia — revisar</w:t>
      </w:r>
      <w:r>
        <w:rPr>
          <w:b w:val="0"/>
          <w:i w:val="0"/>
          <w:sz w:val="16"/>
        </w:rPr>
        <w:t xml:space="preserve"> es una propuesta para que el docente la ajuste.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57"/>
        <w:gridCol w:w="1134"/>
        <w:gridCol w:w="1134"/>
        <w:gridCol w:w="4003"/>
        <w:gridCol w:w="5522"/>
        <w:gridCol w:w="1871"/>
        <w:gridCol w:w="1247"/>
      </w:tblGrid>
      <w:tr>
        <w:trPr>
          <w:tblHeader w:val="true"/>
        </w:trP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6"/>
              </w:rPr>
              <w:t>Período y horas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6"/>
              </w:rPr>
              <w:t>OA</w:t>
            </w:r>
          </w:p>
        </w:tc>
        <w:tc>
          <w:tcPr>
            <w:tcW w:type="dxa" w:w="4003"/>
          </w:tcPr>
          <w:p>
            <w:r/>
            <w:r>
              <w:rPr>
                <w:b/>
                <w:i w:val="0"/>
                <w:sz w:val="16"/>
              </w:rPr>
              <w:t>Foco de la unidad</w:t>
            </w:r>
          </w:p>
        </w:tc>
        <w:tc>
          <w:tcPr>
            <w:tcW w:type="dxa" w:w="5522"/>
          </w:tcPr>
          <w:p>
            <w:r/>
            <w:r>
              <w:rPr>
                <w:b/>
                <w:i w:val="0"/>
                <w:sz w:val="16"/>
              </w:rPr>
              <w:t>Indicadores de evaluación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6"/>
              </w:rPr>
              <w:t>Evaluación</w:t>
            </w:r>
          </w:p>
        </w:tc>
        <w:tc>
          <w:tcPr>
            <w:tcW w:type="dxa" w:w="1247"/>
          </w:tcPr>
          <w:p>
            <w:r/>
            <w:r>
              <w:rPr>
                <w:b/>
                <w:i w:val="0"/>
                <w:sz w:val="16"/>
              </w:rPr>
              <w:t>Recursos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1</w:t>
            </w:r>
          </w:p>
          <w:p>
            <w:r>
              <w:rPr>
                <w:b/>
                <w:i w:val="0"/>
                <w:sz w:val="16"/>
              </w:rPr>
              <w:t>Salud humana y medicina: ¿Cómo contribuir a nuestra salud y a la de los demás?</w:t>
            </w:r>
          </w:p>
          <w:p>
            <w:r>
              <w:rPr>
                <w:b w:val="0"/>
                <w:i w:val="0"/>
                <w:sz w:val="15"/>
              </w:rPr>
              <w:t>Se busca que los estudiantes reflexionen y analicen la dinámica de la salud individual y colectiva, considerando factores personales, sociales y ambientales, y que evalúen el uso de medicinas en diversos contextos.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36–68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1</w:t>
            </w:r>
          </w:p>
          <w:p>
            <w:r>
              <w:rPr>
                <w:b w:val="0"/>
                <w:i w:val="0"/>
                <w:sz w:val="15"/>
              </w:rPr>
              <w:t>20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1 a 10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1, OA 2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1</w:t>
            </w:r>
          </w:p>
        </w:tc>
        <w:tc>
          <w:tcPr>
            <w:tcW w:type="dxa" w:w="4003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b: Planificar y desarrollar investigaciones que permitan recoger evidencias y contrastar hipótesis, con apoyo de herramientas tecnológicas y matemáticas.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c: Describir patrones, tendencias y relaciones entre datos, información y variables.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d: Analizar las relaciones entre las partes de un sistema en fenómenos y problemas de interés, a partir de tablas, gráficos, diagramas y modelos.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e: Construir, usar y comunicar argumentos científicos.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h: Evaluar la validez de información proveniente de diversas fuentes, distinguiendo entre evidencia científica e interpretación, y analizar sus alcances y limitaciones.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i: Analizar críticamente implicancias sociales, económicas, éticas y ambientales de problemas relacionados con controversias públicas que involucran ciencia y tecnología.</w:t>
            </w:r>
          </w:p>
        </w:tc>
        <w:tc>
          <w:tcPr>
            <w:tcW w:type="dxa" w:w="5522"/>
          </w:tcPr>
          <w:p>
            <w:r/>
            <w:r>
              <w:rPr>
                <w:b/>
                <w:i w:val="0"/>
                <w:sz w:val="15"/>
              </w:rPr>
              <w:t>Evaluación unidad 1. ¿Cómo influyo en la salud de los demás? (OA 1) · pág. 66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Planifican y desarrollan investigaciones sobre factores biológicos, ambientales y sociales para explicar el concepto de salud desde una visión sistémica.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Explican la salud humana con argumentos sobre su naturaleza dinámica entre aspectos físicos, psíquicos, sociales y ambientales.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Diagnóstica.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Al inicio del módulo: lluvia de ideas y cuestionario breve sobre qué entienden por salud, qué factores creen que la afectan y qué remedios caseros se usan en sus familias, para conocer sus ideas previas.</w:t>
            </w:r>
          </w:p>
          <w:p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Investigación en grupos sobre un factor que influye en la salud de los jóvenes de la comuna (actividad física, alimentación, estrés, consumo de alcohol o contaminación del aire), con revisión de avances mediante pauta (OA 1, OA b); tabla comparativa de medicinas convencional, tradicional y complementaria, con retroalimentación sobre la validez de las fuentes usadas (OA 2, OA h).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la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Evaluación unidad 1. ¿Cómo influyo en la salud de los demás?: </w:t>
            </w:r>
            <w:r>
              <w:rPr>
                <w:b w:val="0"/>
                <w:i w:val="0"/>
                <w:sz w:val="15"/>
              </w:rPr>
              <w:t>OA 1 con 2 indicadores. (pág. 66)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Texto escolar y biblioteca CRA; información del Cesfam, hospital o posta rural más cercana y entrevista a un profesional de salud; saberes de las familias sobre remedios caseros y plantas medicinales, contrastados con fuentes confiables.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2</w:t>
            </w:r>
          </w:p>
          <w:p>
            <w:r>
              <w:rPr>
                <w:b/>
                <w:i w:val="0"/>
                <w:sz w:val="16"/>
              </w:rPr>
              <w:t>Prevención de infecciones</w:t>
            </w:r>
          </w:p>
          <w:p>
            <w:r>
              <w:rPr>
                <w:b w:val="0"/>
                <w:i w:val="0"/>
                <w:sz w:val="15"/>
              </w:rPr>
              <w:t>Se busca que los estudiantes analicen situaciones de contagio de enfermedades e infecciones que afectan a la población en nuestros días.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69–99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1</w:t>
            </w:r>
          </w:p>
          <w:p>
            <w:r>
              <w:rPr>
                <w:b w:val="0"/>
                <w:i w:val="0"/>
                <w:sz w:val="15"/>
              </w:rPr>
              <w:t>18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11 a 19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3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3</w:t>
            </w:r>
          </w:p>
        </w:tc>
        <w:tc>
          <w:tcPr>
            <w:tcW w:type="dxa" w:w="4003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a: Formular preguntas y problemas sobre tópicos científicos de interés, a partir de la observación de fenómenos y/o la exploración de diversas fuentes.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c: Describir patrones, tendencias y relaciones entre datos, información y variables.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d: Analizar las relaciones entre las partes de un sistema en fenómenos y problemas de interés, a partir de tablas, gráficos, diagramas y modelos.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e: Construir, usar y comunicar argumentos científicos.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f: Desarrollar y usar modelos basados en evidencia, para predecir y explicar mecanismos y fenómenos naturales.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g: Diseñar proyectos para encontrar soluciones a problemas, usando la imaginación y la creatividad.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i: Analizar críticamente implicancias sociales, económicas, éticas y ambientales de problemas relacionados con controversias públicas que involucran ciencia y tecnología.</w:t>
            </w:r>
          </w:p>
        </w:tc>
        <w:tc>
          <w:tcPr>
            <w:tcW w:type="dxa" w:w="5522"/>
          </w:tcPr>
          <w:p>
            <w:r/>
            <w:r>
              <w:rPr>
                <w:b/>
                <w:i w:val="0"/>
                <w:sz w:val="15"/>
              </w:rPr>
              <w:t>Evaluación Unidad 2. ¿Son importantes las vacunas como medidas de (OA 3) · pág. 91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Formulan preguntas y problemas sobre la transmisión de agentes infecciosos a partir de la observación de situaciones de contagio, a escala nacional y mundial.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Argumentan la importancia de prácticas de higiene en el hogar, el trabajo y la escuela, para prevenir la transmisión de agentes infecciosos.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Analizan críticamente implicancias éticas, económicas, ambientales y sociales relacionadas con las medidas para prevenir y mitigar la transmisión de agentes infecciosos a escala nacional y mundial en la población.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Análisis de casos de transmisión de enfermedades (influenza, hanta, sarampión) con preguntas guía y tickets de salida (OA 3, OA c); debate con pauta sobre vacunas y otras medidas de prevención, evaluando los argumentos y su base en evidencia, incluido cómo llegan las vacunas y la atención a localidades rurales o alejadas del país (OA e, OA i).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la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Evaluación Unidad 2. ¿Son importantes las vacunas como medidas de: </w:t>
            </w:r>
            <w:r>
              <w:rPr>
                <w:b w:val="0"/>
                <w:i w:val="0"/>
                <w:sz w:val="15"/>
              </w:rPr>
              <w:t>OA 3 con 3 indicadores. (pág. 91)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Calendario de vacunación y material de prevención del Ministerio de Salud, impreso para trabajar sin conexión; orientaciones sobre prevención del hantavirus en sectores rurales y de camping; modelos simples de contagio con dados o tarjetas en la sala.</w:t>
            </w:r>
          </w:p>
        </w:tc>
      </w:tr>
    </w:tbl>
    <w:p>
      <w:pPr>
        <w:pStyle w:val="Heading1"/>
      </w:pPr>
      <w:r>
        <w:t>E. Estrategias transversales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3402"/>
        <w:gridCol w:w="13266"/>
      </w:tblGrid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DUA (Decreto 83/2015)</w:t>
            </w:r>
          </w:p>
        </w:tc>
        <w:tc>
          <w:tcPr>
            <w:tcW w:type="dxa" w:w="13266"/>
          </w:tcPr>
          <w:p>
            <w:r>
              <w:rPr>
                <w:b/>
                <w:i w:val="0"/>
                <w:sz w:val="18"/>
              </w:rPr>
              <w:t xml:space="preserve">Múltiples formas de representación: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Presentar la información con casos reales, infografías, tablas de datos, modelos y relatos de la comunidad, con un glosario de términos de salud.</w:t>
            </w:r>
          </w:p>
          <w:p>
            <w:r>
              <w:rPr>
                <w:b/>
                <w:i w:val="0"/>
                <w:sz w:val="18"/>
              </w:rPr>
              <w:t xml:space="preserve">Múltiples formas de acción y expresión: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Permitir mostrar lo aprendido mediante informes breves, infografías, cápsulas de audio, campañas de prevención o exposiciones orales.</w:t>
            </w:r>
          </w:p>
          <w:p>
            <w:r>
              <w:rPr>
                <w:b/>
                <w:i w:val="0"/>
                <w:sz w:val="18"/>
              </w:rPr>
              <w:t xml:space="preserve">Múltiples formas de implicación: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Partir de situaciones de salud de la comuna y de la vida de los estudiantes (acceso a la posta o al Cesfam, la alimentación, el deporte), dejando que elijan el tema que investigan y cuidando la información personal de cada uno.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Atención a NEE / PIE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Enfoque socioemocional y convivencia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Otros (OAT, habilidades del siglo XXI)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</w:tbl>
    <w:p>
      <w:pPr>
        <w:pStyle w:val="Heading1"/>
      </w:pPr>
      <w:r>
        <w:t>F. Observaciones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6668"/>
      </w:tblGrid>
      <w:tr>
        <w:trPr>
          <w:cantSplit/>
        </w:trPr>
        <w:tc>
          <w:tcPr>
            <w:tcW w:type="dxa" w:w="16668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  <w:p/>
          <w:p/>
          <w:p/>
        </w:tc>
      </w:tr>
    </w:tbl>
    <w:p>
      <w:r>
        <w:br w:type="page"/>
      </w:r>
    </w:p>
    <w:p>
      <w:pPr>
        <w:pStyle w:val="Heading1"/>
      </w:pPr>
      <w:r>
        <w:t>G. Anexo: Objetivos de Aprendizaje del año</w:t>
      </w:r>
    </w:p>
    <w:p>
      <w:pPr>
        <w:spacing w:after="80"/>
      </w:pPr>
      <w:r>
        <w:rPr>
          <w:b w:val="0"/>
          <w:i w:val="0"/>
          <w:color w:val="595959"/>
          <w:sz w:val="16"/>
        </w:rPr>
        <w:t>Texto literal de las Bases Curriculares (DS 193/2019); las habilidades y actitudes, del Programa de Estudio. Entre paréntesis, la página en las Bases (B) y en el Programa de Estudio (P).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01"/>
        <w:gridCol w:w="14967"/>
      </w:tblGrid>
      <w:tr>
        <w:trPr>
          <w:tblHeader w:val="true"/>
        </w:trPr>
        <w:tc>
          <w:tcPr>
            <w:tcW w:type="dxa" w:w="1701"/>
          </w:tcPr>
          <w:p>
            <w:r/>
            <w:r>
              <w:rPr>
                <w:b/>
                <w:i w:val="0"/>
                <w:sz w:val="18"/>
              </w:rPr>
              <w:t>Código</w:t>
            </w:r>
          </w:p>
        </w:tc>
        <w:tc>
          <w:tcPr>
            <w:tcW w:type="dxa" w:w="14967"/>
          </w:tcPr>
          <w:p>
            <w:r/>
            <w:r>
              <w:rPr>
                <w:b/>
                <w:i w:val="0"/>
                <w:sz w:val="18"/>
              </w:rPr>
              <w:t>Objetivo de Aprendizaje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MÓDULO SEMESTRAL: BIENESTAR Y SALUD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51 · P 51)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Analizar, sobre la base de la investigación, factores biológicos, ambientales y sociales que influyen en la salud humana (como la nutrición, el consumo de alimentos transgénicos, la actividad física, el estrés, el consumo de alcohol y drogas, y la exposición a rayos UV, plaguicidas, patógenos y elementos contaminantes, entre otros).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2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51 · P 51)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Investigar y comparar diversas medicinas (incluyendo la convencional, la tradicional de nuestros pueblos originarios y la complementaria alternativa), considerando su origen, conocimientos y prácticas para la resolución de problemas de salud cotidianos.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3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51 · P 51)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Analizar, a partir de evidencias, situaciones de transmisión de agentes infecciosos a nivel nacional y mundial (como virus de influenza, VIH-sida, hanta, hepatitis B, sarampión, entre otros), y evaluar críticamente posibles medidas de prevención como el uso de vacunas.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HABILIDADES · PLANIFICAR Y CONDUCIR UNA INVESTIGACIÓN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a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50)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Formular preguntas y problemas sobre tópicos científicos de interés, a partir de la observación de fenómenos y/o la exploración de diversas fuentes.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b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50)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Planificar y desarrollar investigaciones que permitan recoger evidencias y contrastar hipótesis, con apoyo de herramientas tecnológicas y matemáticas.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HABILIDADES · ANALIZAR E INTERPRETAR DATOS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c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50)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Describir patrones, tendencias y relaciones entre datos, información y variables.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d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50)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Analizar las relaciones entre las partes de un sistema en fenómenos y problemas de interés, a partir de tablas, gráficos, diagramas y modelos.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HABILIDADES · CONSTRUIR EXPLICACIONES Y DISEÑAR SOLUCIONES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e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50)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Construir, usar y comunicar argumentos científicos.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f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50)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Desarrollar y usar modelos basados en evidencia, para predecir y explicar mecanismos y fenómenos naturales.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g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50)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Diseñar proyectos para encontrar soluciones a problemas, usando la imaginación y la creatividad.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HABILIDADES · EVALUAR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h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50)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Evaluar la validez de información proveniente de diversas fuentes, distinguiendo entre evidencia científica e interpretación, y analizar sus alcances y limitaciones.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i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50)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Analizar críticamente implicancias sociales, económicas, éticas y ambientales de problemas relacionados con controversias públicas que involucran ciencia y tecnología.</w:t>
            </w:r>
          </w:p>
        </w:tc>
      </w:tr>
    </w:tbl>
    <w:p>
      <w:pPr>
        <w:pStyle w:val="Heading1"/>
      </w:pPr>
      <w:r>
        <w:t>H. Firmas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5556"/>
        <w:gridCol w:w="5556"/>
        <w:gridCol w:w="5556"/>
      </w:tblGrid>
      <w:tr>
        <w:trPr>
          <w:cantSplit/>
        </w:trPr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Docente</w:t>
            </w:r>
          </w:p>
        </w:tc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Jefe/a de UTP</w:t>
            </w:r>
          </w:p>
        </w:tc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Fecha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8709" w:h="12246" w:orient="landscape"/>
      <w:pgMar w:top="1020" w:right="1020" w:bottom="1020" w:left="1020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 w:val="0"/>
        <w:color w:val="595959"/>
        <w:sz w:val="16"/>
      </w:rPr>
      <w:t xml:space="preserve">Basado en Programa de Estudio Ciencias para la Ciudadanía: Bienestar y Salud 3° o 4° medio, Mineduc (Decreto Exento N° 496/2020) y Bases Curriculares DS 193/2019  ·  Página </w:t>
    </w:r>
    <w:r>
      <w:rPr>
        <w:sz w:val="16"/>
      </w:rPr>
      <w:fldChar w:fldCharType="begin"/>
      <w:instrText xml:space="preserve"> PAGE </w:instrText>
      <w:fldChar w:fldCharType="separate"/>
      <w:t>1</w:t>
      <w:fldChar w:fldCharType="end"/>
    </w:r>
    <w:r>
      <w:rPr>
        <w:b w:val="0"/>
        <w:i w:val="0"/>
        <w:color w:val="595959"/>
        <w:sz w:val="16"/>
      </w:rPr>
      <w:t xml:space="preserve"> de </w:t>
    </w:r>
    <w:r>
      <w:rPr>
        <w:sz w:val="16"/>
      </w:rPr>
      <w:fldChar w:fldCharType="begin"/>
      <w:instrText xml:space="preserve"> NUMPAGES </w:instrText>
      <w:fldChar w:fldCharType="separate"/>
      <w:t>1</w:t>
      <w:fldChar w:fldCharType="end"/>
    </w:r>
  </w:p>
  <w:p>
    <w:pPr>
      <w:jc w:val="center"/>
    </w:pPr>
    <w:r>
      <w:rPr>
        <w:b w:val="0"/>
        <w:i w:val="0"/>
        <w:color w:val="595959"/>
        <w:sz w:val="15"/>
      </w:rPr>
      <w:t>Material gratuito descargado de EltioIA.cl · Documento de apoyo basado en el currículum nacional; no es una publicación oficial del Mineduc.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 w:line="40" w:lineRule="exact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1134"/>
      <w:gridCol w:w="15534"/>
    </w:tblGrid>
    <w:tr>
      <w:tc>
        <w:tcPr>
          <w:tcW w:type="dxa" w:w="1134"/>
        </w:tcPr>
        <w:p>
          <w:r>
            <w:rPr>
              <w:b w:val="0"/>
              <w:i w:val="0"/>
              <w:color w:val="8C8C8C"/>
              <w:sz w:val="16"/>
            </w:rPr>
            <w:t>[Logo]</w:t>
          </w:r>
        </w:p>
      </w:tc>
      <w:tc>
        <w:tcPr>
          <w:tcW w:type="dxa" w:w="15534"/>
        </w:tcPr>
        <w:p>
          <w:pPr>
            <w:jc w:val="right"/>
          </w:pPr>
          <w:r>
            <w:rPr>
              <w:b/>
              <w:i w:val="0"/>
              <w:sz w:val="20"/>
            </w:rPr>
            <w:t>[Completar]</w:t>
          </w:r>
        </w:p>
        <w:p>
          <w:pPr>
            <w:jc w:val="right"/>
          </w:pPr>
          <w:r>
            <w:rPr>
              <w:b w:val="0"/>
              <w:i w:val="0"/>
              <w:color w:val="595959"/>
              <w:sz w:val="18"/>
            </w:rPr>
            <w:t>Planificación Semestral 2027 · Ciencias para la Ciudadanía: Bienestar y Salud · 3° o 4° medio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before="0"/>
    </w:pPr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="Calibri" w:hAnsi="Calibri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0"/>
      <w:contextualSpacing/>
    </w:pPr>
    <w:rPr>
      <w:rFonts w:ascii="Calibri" w:hAnsi="Calibri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Planificación Semestral 2027 — Ciencias para la Ciudadanía: Bienestar y Salud · 3° o 4° medio</dc:title>
  <dc:subject/>
  <dc:creator/>
  <cp:keywords/>
  <dc:description>Generado el 2026-10-23 desde programa_ciencias_ciudadania_34medio.pdf (sha256 36e4927840c5) con plantilla_anual.md v1.0.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