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jc w:val="center"/>
      </w:pPr>
      <w:r>
        <w:rPr>
          <w:b/>
          <w:i w:val="0"/>
          <w:sz w:val="32"/>
        </w:rPr>
        <w:t>PLANIFICACIÓN ANUAL 2027</w:t>
      </w:r>
    </w:p>
    <w:p>
      <w:pPr>
        <w:spacing w:after="120"/>
        <w:jc w:val="center"/>
      </w:pPr>
      <w:r>
        <w:rPr>
          <w:b w:val="0"/>
          <w:i w:val="0"/>
          <w:color w:val="595959"/>
          <w:sz w:val="24"/>
        </w:rPr>
        <w:t>Ciencias Naturales: Física · 2° medio</w:t>
      </w:r>
    </w:p>
    <w:p>
      <w:pPr>
        <w:pStyle w:val="Heading1"/>
      </w:pPr>
      <w:r>
        <w:t>A. Identificación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814"/>
        <w:gridCol w:w="6520"/>
        <w:gridCol w:w="1814"/>
        <w:gridCol w:w="6520"/>
      </w:tblGrid>
      <w:tr>
        <w:tc>
          <w:tcPr>
            <w:tcW w:type="dxa" w:w="1814"/>
          </w:tcPr>
          <w:p>
            <w:r>
              <w:rPr>
                <w:b/>
                <w:i w:val="0"/>
                <w:sz w:val="18"/>
              </w:rPr>
              <w:t>Establecimiento</w:t>
            </w:r>
          </w:p>
        </w:tc>
        <w:tc>
          <w:tcPr>
            <w:tcW w:type="dxa" w:w="6520"/>
          </w:tcPr>
          <w:p>
            <w:r>
              <w:rPr>
                <w:b w:val="0"/>
                <w:i w:val="0"/>
                <w:color w:val="8C8C8C"/>
                <w:sz w:val="18"/>
              </w:rPr>
              <w:t>[Completar]</w:t>
            </w:r>
          </w:p>
        </w:tc>
        <w:tc>
          <w:tcPr>
            <w:tcW w:type="dxa" w:w="1814"/>
          </w:tcPr>
          <w:p>
            <w:r>
              <w:rPr>
                <w:b/>
                <w:i w:val="0"/>
                <w:sz w:val="18"/>
              </w:rPr>
              <w:t>Asignatura</w:t>
            </w:r>
          </w:p>
        </w:tc>
        <w:tc>
          <w:tcPr>
            <w:tcW w:type="dxa" w:w="6520"/>
          </w:tcPr>
          <w:p>
            <w:r>
              <w:rPr>
                <w:b w:val="0"/>
                <w:i w:val="0"/>
                <w:sz w:val="18"/>
              </w:rPr>
              <w:t>Ciencias Naturales: Física</w:t>
            </w:r>
          </w:p>
        </w:tc>
      </w:tr>
      <w:tr>
        <w:tc>
          <w:tcPr>
            <w:tcW w:type="dxa" w:w="1814"/>
          </w:tcPr>
          <w:p>
            <w:r>
              <w:rPr>
                <w:b/>
                <w:i w:val="0"/>
                <w:sz w:val="18"/>
              </w:rPr>
              <w:t>RBD</w:t>
            </w:r>
          </w:p>
        </w:tc>
        <w:tc>
          <w:tcPr>
            <w:tcW w:type="dxa" w:w="6520"/>
          </w:tcPr>
          <w:p>
            <w:r>
              <w:rPr>
                <w:b w:val="0"/>
                <w:i w:val="0"/>
                <w:color w:val="8C8C8C"/>
                <w:sz w:val="18"/>
              </w:rPr>
              <w:t>[Completar]</w:t>
            </w:r>
          </w:p>
        </w:tc>
        <w:tc>
          <w:tcPr>
            <w:tcW w:type="dxa" w:w="1814"/>
          </w:tcPr>
          <w:p>
            <w:r>
              <w:rPr>
                <w:b/>
                <w:i w:val="0"/>
                <w:sz w:val="18"/>
              </w:rPr>
              <w:t>Curso</w:t>
            </w:r>
          </w:p>
        </w:tc>
        <w:tc>
          <w:tcPr>
            <w:tcW w:type="dxa" w:w="6520"/>
          </w:tcPr>
          <w:p>
            <w:r>
              <w:rPr>
                <w:b w:val="0"/>
                <w:i w:val="0"/>
                <w:color w:val="8C8C8C"/>
                <w:sz w:val="18"/>
              </w:rPr>
              <w:t>2° medio [Completar]</w:t>
            </w:r>
          </w:p>
        </w:tc>
      </w:tr>
      <w:tr>
        <w:tc>
          <w:tcPr>
            <w:tcW w:type="dxa" w:w="1814"/>
          </w:tcPr>
          <w:p>
            <w:r>
              <w:rPr>
                <w:b/>
                <w:i w:val="0"/>
                <w:sz w:val="18"/>
              </w:rPr>
              <w:t>Comuna / Región</w:t>
            </w:r>
          </w:p>
        </w:tc>
        <w:tc>
          <w:tcPr>
            <w:tcW w:type="dxa" w:w="6520"/>
          </w:tcPr>
          <w:p>
            <w:r>
              <w:rPr>
                <w:b w:val="0"/>
                <w:i w:val="0"/>
                <w:color w:val="8C8C8C"/>
                <w:sz w:val="18"/>
              </w:rPr>
              <w:t>[Completar], [Completar]</w:t>
            </w:r>
          </w:p>
        </w:tc>
        <w:tc>
          <w:tcPr>
            <w:tcW w:type="dxa" w:w="1814"/>
          </w:tcPr>
          <w:p>
            <w:r>
              <w:rPr>
                <w:b/>
                <w:i w:val="0"/>
                <w:sz w:val="18"/>
              </w:rPr>
              <w:t>Año escolar</w:t>
            </w:r>
          </w:p>
        </w:tc>
        <w:tc>
          <w:tcPr>
            <w:tcW w:type="dxa" w:w="6520"/>
          </w:tcPr>
          <w:p>
            <w:r>
              <w:rPr>
                <w:b w:val="0"/>
                <w:i w:val="0"/>
                <w:sz w:val="18"/>
              </w:rPr>
              <w:t>2027</w:t>
            </w:r>
          </w:p>
        </w:tc>
      </w:tr>
      <w:tr>
        <w:tc>
          <w:tcPr>
            <w:tcW w:type="dxa" w:w="1814"/>
          </w:tcPr>
          <w:p>
            <w:r>
              <w:rPr>
                <w:b/>
                <w:i w:val="0"/>
                <w:sz w:val="18"/>
              </w:rPr>
              <w:t>Docente</w:t>
            </w:r>
          </w:p>
        </w:tc>
        <w:tc>
          <w:tcPr>
            <w:tcW w:type="dxa" w:w="6520"/>
          </w:tcPr>
          <w:p>
            <w:r>
              <w:rPr>
                <w:b w:val="0"/>
                <w:i w:val="0"/>
                <w:color w:val="8C8C8C"/>
                <w:sz w:val="18"/>
              </w:rPr>
              <w:t>[Completar]</w:t>
            </w:r>
          </w:p>
        </w:tc>
        <w:tc>
          <w:tcPr>
            <w:tcW w:type="dxa" w:w="1814"/>
          </w:tcPr>
          <w:p>
            <w:r>
              <w:rPr>
                <w:b/>
                <w:i w:val="0"/>
                <w:sz w:val="18"/>
              </w:rPr>
              <w:t>Horas</w:t>
            </w:r>
          </w:p>
        </w:tc>
        <w:tc>
          <w:tcPr>
            <w:tcW w:type="dxa" w:w="6520"/>
          </w:tcPr>
          <w:p>
            <w:r>
              <w:rPr>
                <w:b w:val="0"/>
                <w:i w:val="0"/>
                <w:sz w:val="18"/>
              </w:rPr>
              <w:t>2 h pedagógicas semanales · 76 h anuales (38 semanas) · Ciencias Naturales tiene 6 h semanales; se asumen 2 h para el eje Física (reparto del establecimiento)</w:t>
            </w:r>
          </w:p>
        </w:tc>
      </w:tr>
      <w:tr>
        <w:tc>
          <w:tcPr>
            <w:tcW w:type="dxa" w:w="1814"/>
          </w:tcPr>
          <w:p>
            <w:r>
              <w:rPr>
                <w:b/>
                <w:i w:val="0"/>
                <w:sz w:val="18"/>
              </w:rPr>
              <w:t>Correo</w:t>
            </w:r>
          </w:p>
        </w:tc>
        <w:tc>
          <w:tcPr>
            <w:tcW w:type="dxa" w:w="6520"/>
          </w:tcPr>
          <w:p>
            <w:r>
              <w:rPr>
                <w:b w:val="0"/>
                <w:i w:val="0"/>
                <w:color w:val="8C8C8C"/>
                <w:sz w:val="18"/>
              </w:rPr>
              <w:t>[Completar]</w:t>
            </w:r>
          </w:p>
        </w:tc>
        <w:tc>
          <w:tcPr>
            <w:tcW w:type="dxa" w:w="1814"/>
          </w:tcPr>
          <w:p>
            <w:r>
              <w:rPr>
                <w:b/>
                <w:i w:val="0"/>
                <w:sz w:val="18"/>
              </w:rPr>
              <w:t>Marco curricular</w:t>
            </w:r>
          </w:p>
        </w:tc>
        <w:tc>
          <w:tcPr>
            <w:tcW w:type="dxa" w:w="6520"/>
          </w:tcPr>
          <w:p>
            <w:r>
              <w:rPr>
                <w:b w:val="0"/>
                <w:i w:val="0"/>
                <w:sz w:val="18"/>
              </w:rPr>
              <w:t>Bases Curriculares DS 614/2013 y DS 369/2015 · Programa de Estudio Decreto Exento N° 1264/2016</w:t>
            </w:r>
          </w:p>
        </w:tc>
      </w:tr>
    </w:tbl>
    <w:p>
      <w:pPr>
        <w:pStyle w:val="Heading1"/>
      </w:pPr>
      <w:r>
        <w:t>B. Fundamentación</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Propósito de la asignatura en el nivel</w:t>
            </w:r>
          </w:p>
        </w:tc>
        <w:tc>
          <w:tcPr>
            <w:tcW w:type="dxa" w:w="13266"/>
          </w:tcPr>
          <w:p>
            <w:r/>
            <w:r>
              <w:rPr>
                <w:b/>
                <w:i/>
                <w:color w:val="595959"/>
                <w:sz w:val="18"/>
              </w:rPr>
              <w:t xml:space="preserve">Sugerencia — revisar: </w:t>
            </w:r>
            <w:r>
              <w:rPr>
                <w:b w:val="0"/>
                <w:i/>
                <w:color w:val="595959"/>
                <w:sz w:val="18"/>
              </w:rPr>
              <w:t>En el eje de Física de 2° medio, los estudiantes estudian el movimiento rectilíneo, la fuerza y las leyes de Newton, la energía mecánica y la cantidad de movimiento, y el universo, desarrollando habilidades de investigación científica.</w:t>
            </w:r>
          </w:p>
        </w:tc>
      </w:tr>
      <w:tr>
        <w:tc>
          <w:tcPr>
            <w:tcW w:type="dxa" w:w="3402"/>
          </w:tcPr>
          <w:p>
            <w:r>
              <w:rPr>
                <w:b/>
                <w:i w:val="0"/>
                <w:sz w:val="18"/>
              </w:rPr>
              <w:t>Vínculo con el PEI / sellos del establecimiento</w:t>
            </w:r>
          </w:p>
        </w:tc>
        <w:tc>
          <w:tcPr>
            <w:tcW w:type="dxa" w:w="13266"/>
          </w:tcPr>
          <w:p>
            <w:r>
              <w:rPr>
                <w:b w:val="0"/>
                <w:i/>
                <w:color w:val="8C8C8C"/>
                <w:sz w:val="18"/>
              </w:rPr>
              <w:t>Completar por el docente</w:t>
            </w:r>
          </w:p>
        </w:tc>
      </w:tr>
      <w:tr>
        <w:tc>
          <w:tcPr>
            <w:tcW w:type="dxa" w:w="3402"/>
          </w:tcPr>
          <w:p>
            <w:r>
              <w:rPr>
                <w:b/>
                <w:i w:val="0"/>
                <w:sz w:val="18"/>
              </w:rPr>
              <w:t>Diagnóstico del curso</w:t>
            </w:r>
          </w:p>
        </w:tc>
        <w:tc>
          <w:tcPr>
            <w:tcW w:type="dxa" w:w="13266"/>
          </w:tcPr>
          <w:p>
            <w:r>
              <w:rPr>
                <w:b w:val="0"/>
                <w:i/>
                <w:color w:val="8C8C8C"/>
                <w:sz w:val="18"/>
              </w:rPr>
              <w:t>Completar por el docente</w:t>
            </w:r>
          </w:p>
        </w:tc>
      </w:tr>
    </w:tbl>
    <w:p>
      <w:pPr>
        <w:pStyle w:val="Heading1"/>
      </w:pPr>
      <w:r>
        <w:t>C. Visión general del año</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5102"/>
        <w:gridCol w:w="5329"/>
        <w:gridCol w:w="2268"/>
        <w:gridCol w:w="2268"/>
      </w:tblGrid>
      <w:tr>
        <w:trPr>
          <w:tblHeader w:val="true"/>
          <w:cantSplit/>
        </w:trPr>
        <w:tc>
          <w:tcPr>
            <w:tcW w:type="dxa" w:w="1701"/>
          </w:tcPr>
          <w:p>
            <w:pPr>
              <w:keepNext/>
            </w:pPr>
            <w:r/>
            <w:r>
              <w:rPr>
                <w:b/>
                <w:i w:val="0"/>
                <w:sz w:val="18"/>
              </w:rPr>
              <w:t>Semestre</w:t>
            </w:r>
          </w:p>
        </w:tc>
        <w:tc>
          <w:tcPr>
            <w:tcW w:type="dxa" w:w="5102"/>
          </w:tcPr>
          <w:p>
            <w:pPr>
              <w:keepNext/>
            </w:pPr>
            <w:r/>
            <w:r>
              <w:rPr>
                <w:b/>
                <w:i w:val="0"/>
                <w:sz w:val="18"/>
              </w:rPr>
              <w:t>Unidad</w:t>
            </w:r>
          </w:p>
        </w:tc>
        <w:tc>
          <w:tcPr>
            <w:tcW w:type="dxa" w:w="5329"/>
          </w:tcPr>
          <w:p>
            <w:pPr>
              <w:keepNext/>
            </w:pPr>
            <w:r/>
            <w:r>
              <w:rPr>
                <w:b/>
                <w:i w:val="0"/>
                <w:sz w:val="18"/>
              </w:rPr>
              <w:t>Período (sugerido)</w:t>
            </w:r>
          </w:p>
        </w:tc>
        <w:tc>
          <w:tcPr>
            <w:tcW w:type="dxa" w:w="2268"/>
          </w:tcPr>
          <w:p>
            <w:pPr>
              <w:keepNext/>
            </w:pPr>
            <w:r/>
            <w:r>
              <w:rPr>
                <w:b/>
                <w:i w:val="0"/>
                <w:sz w:val="18"/>
              </w:rPr>
              <w:t>Semanas aprox.</w:t>
            </w:r>
          </w:p>
        </w:tc>
        <w:tc>
          <w:tcPr>
            <w:tcW w:type="dxa" w:w="2268"/>
          </w:tcPr>
          <w:p>
            <w:pPr>
              <w:keepNext/>
            </w:pPr>
            <w:r/>
            <w:r>
              <w:rPr>
                <w:b/>
                <w:i w:val="0"/>
                <w:sz w:val="18"/>
              </w:rPr>
              <w:t>Horas pedagógicas</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1: Movimiento rectilíneo</w:t>
            </w:r>
          </w:p>
        </w:tc>
        <w:tc>
          <w:tcPr>
            <w:tcW w:type="dxa" w:w="5329"/>
          </w:tcPr>
          <w:p>
            <w:pPr>
              <w:keepNext/>
            </w:pPr>
            <w:r>
              <w:rPr>
                <w:b w:val="0"/>
                <w:i w:val="0"/>
                <w:sz w:val="18"/>
              </w:rPr>
              <w:t>Semanas 1 a 10</w:t>
            </w:r>
          </w:p>
        </w:tc>
        <w:tc>
          <w:tcPr>
            <w:tcW w:type="dxa" w:w="2268"/>
          </w:tcPr>
          <w:p>
            <w:pPr>
              <w:keepNext/>
            </w:pPr>
            <w:r>
              <w:rPr>
                <w:b w:val="0"/>
                <w:i w:val="0"/>
                <w:sz w:val="18"/>
              </w:rPr>
              <w:t>≈ 8</w:t>
            </w:r>
          </w:p>
        </w:tc>
        <w:tc>
          <w:tcPr>
            <w:tcW w:type="dxa" w:w="2268"/>
          </w:tcPr>
          <w:p>
            <w:pPr>
              <w:keepNext/>
            </w:pPr>
            <w:r>
              <w:rPr>
                <w:b w:val="0"/>
                <w:i w:val="0"/>
                <w:sz w:val="18"/>
              </w:rPr>
              <w:t>17</w:t>
            </w:r>
          </w:p>
        </w:tc>
      </w:tr>
      <w:tr>
        <w:trPr>
          <w:cantSplit/>
        </w:trPr>
        <w:tc>
          <w:tcPr>
            <w:tcW w:type="dxa" w:w="1701"/>
          </w:tcPr>
          <w:p>
            <w:pPr>
              <w:keepNext/>
            </w:pPr>
            <w:r>
              <w:rPr>
                <w:b w:val="0"/>
                <w:i w:val="0"/>
                <w:sz w:val="18"/>
              </w:rPr>
              <w:t>Semestre 1</w:t>
            </w:r>
          </w:p>
        </w:tc>
        <w:tc>
          <w:tcPr>
            <w:tcW w:type="dxa" w:w="5102"/>
          </w:tcPr>
          <w:p>
            <w:pPr>
              <w:keepNext/>
            </w:pPr>
            <w:r>
              <w:rPr>
                <w:b w:val="0"/>
                <w:i w:val="0"/>
                <w:sz w:val="18"/>
              </w:rPr>
              <w:t>Unidad 2: Fuerza</w:t>
            </w:r>
          </w:p>
        </w:tc>
        <w:tc>
          <w:tcPr>
            <w:tcW w:type="dxa" w:w="5329"/>
          </w:tcPr>
          <w:p>
            <w:pPr>
              <w:keepNext/>
            </w:pPr>
            <w:r>
              <w:rPr>
                <w:b w:val="0"/>
                <w:i w:val="0"/>
                <w:sz w:val="18"/>
              </w:rPr>
              <w:t>Semanas 11 a 19</w:t>
            </w:r>
          </w:p>
        </w:tc>
        <w:tc>
          <w:tcPr>
            <w:tcW w:type="dxa" w:w="2268"/>
          </w:tcPr>
          <w:p>
            <w:pPr>
              <w:keepNext/>
            </w:pPr>
            <w:r>
              <w:rPr>
                <w:b w:val="0"/>
                <w:i w:val="0"/>
                <w:sz w:val="18"/>
              </w:rPr>
              <w:t>≈ 8</w:t>
            </w:r>
          </w:p>
        </w:tc>
        <w:tc>
          <w:tcPr>
            <w:tcW w:type="dxa" w:w="2268"/>
          </w:tcPr>
          <w:p>
            <w:pPr>
              <w:keepNext/>
            </w:pPr>
            <w:r>
              <w:rPr>
                <w:b w:val="0"/>
                <w:i w:val="0"/>
                <w:sz w:val="18"/>
              </w:rPr>
              <w:t>15</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3: Energía mecánica y cantidad de movimiento</w:t>
            </w:r>
          </w:p>
        </w:tc>
        <w:tc>
          <w:tcPr>
            <w:tcW w:type="dxa" w:w="5329"/>
          </w:tcPr>
          <w:p>
            <w:pPr>
              <w:keepNext/>
            </w:pPr>
            <w:r>
              <w:rPr>
                <w:b w:val="0"/>
                <w:i w:val="0"/>
                <w:sz w:val="18"/>
              </w:rPr>
              <w:t>Semanas 20 a 30</w:t>
            </w:r>
          </w:p>
        </w:tc>
        <w:tc>
          <w:tcPr>
            <w:tcW w:type="dxa" w:w="2268"/>
          </w:tcPr>
          <w:p>
            <w:pPr>
              <w:keepNext/>
            </w:pPr>
            <w:r>
              <w:rPr>
                <w:b w:val="0"/>
                <w:i w:val="0"/>
                <w:sz w:val="18"/>
              </w:rPr>
              <w:t>≈ 10</w:t>
            </w:r>
          </w:p>
        </w:tc>
        <w:tc>
          <w:tcPr>
            <w:tcW w:type="dxa" w:w="2268"/>
          </w:tcPr>
          <w:p>
            <w:pPr>
              <w:keepNext/>
            </w:pPr>
            <w:r>
              <w:rPr>
                <w:b w:val="0"/>
                <w:i w:val="0"/>
                <w:sz w:val="18"/>
              </w:rPr>
              <w:t>19</w:t>
            </w:r>
          </w:p>
        </w:tc>
      </w:tr>
      <w:tr>
        <w:trPr>
          <w:cantSplit/>
        </w:trPr>
        <w:tc>
          <w:tcPr>
            <w:tcW w:type="dxa" w:w="1701"/>
          </w:tcPr>
          <w:p>
            <w:pPr>
              <w:keepNext/>
            </w:pPr>
            <w:r>
              <w:rPr>
                <w:b w:val="0"/>
                <w:i w:val="0"/>
                <w:sz w:val="18"/>
              </w:rPr>
              <w:t>Semestre 2</w:t>
            </w:r>
          </w:p>
        </w:tc>
        <w:tc>
          <w:tcPr>
            <w:tcW w:type="dxa" w:w="5102"/>
          </w:tcPr>
          <w:p>
            <w:pPr>
              <w:keepNext/>
            </w:pPr>
            <w:r>
              <w:rPr>
                <w:b w:val="0"/>
                <w:i w:val="0"/>
                <w:sz w:val="18"/>
              </w:rPr>
              <w:t>Unidad 4: El universo</w:t>
            </w:r>
          </w:p>
        </w:tc>
        <w:tc>
          <w:tcPr>
            <w:tcW w:type="dxa" w:w="5329"/>
          </w:tcPr>
          <w:p>
            <w:pPr>
              <w:keepNext/>
            </w:pPr>
            <w:r>
              <w:rPr>
                <w:b w:val="0"/>
                <w:i w:val="0"/>
                <w:sz w:val="18"/>
              </w:rPr>
              <w:t>Semanas 31 a 38</w:t>
            </w:r>
          </w:p>
        </w:tc>
        <w:tc>
          <w:tcPr>
            <w:tcW w:type="dxa" w:w="2268"/>
          </w:tcPr>
          <w:p>
            <w:pPr>
              <w:keepNext/>
            </w:pPr>
            <w:r>
              <w:rPr>
                <w:b w:val="0"/>
                <w:i w:val="0"/>
                <w:sz w:val="18"/>
              </w:rPr>
              <w:t>≈ 7</w:t>
            </w:r>
          </w:p>
        </w:tc>
        <w:tc>
          <w:tcPr>
            <w:tcW w:type="dxa" w:w="2268"/>
          </w:tcPr>
          <w:p>
            <w:pPr>
              <w:keepNext/>
            </w:pPr>
            <w:r>
              <w:rPr>
                <w:b w:val="0"/>
                <w:i w:val="0"/>
                <w:sz w:val="18"/>
              </w:rPr>
              <w:t>14</w:t>
            </w:r>
          </w:p>
        </w:tc>
      </w:tr>
      <w:tr>
        <w:trPr>
          <w:cantSplit/>
        </w:trPr>
        <w:tc>
          <w:tcPr>
            <w:tcW w:type="dxa" w:w="14400"/>
            <w:gridSpan w:val="4"/>
          </w:tcPr>
          <w:p>
            <w:pPr>
              <w:keepNext/>
            </w:pPr>
            <w:r/>
            <w:r>
              <w:rPr>
                <w:b w:val="0"/>
                <w:i w:val="0"/>
                <w:sz w:val="18"/>
              </w:rPr>
              <w:t>Horas sin asignar en el Programa (diagnóstico, evaluaciones, imprevistos)</w:t>
            </w:r>
          </w:p>
        </w:tc>
        <w:tc>
          <w:tcPr>
            <w:tcW w:type="dxa" w:w="2268"/>
          </w:tcPr>
          <w:p>
            <w:pPr>
              <w:keepNext/>
            </w:pPr>
            <w:r>
              <w:rPr>
                <w:b w:val="0"/>
                <w:i w:val="0"/>
                <w:sz w:val="18"/>
              </w:rPr>
              <w:t>11</w:t>
            </w:r>
          </w:p>
        </w:tc>
      </w:tr>
      <w:tr>
        <w:tc>
          <w:tcPr>
            <w:tcW w:type="dxa" w:w="14400"/>
            <w:gridSpan w:val="4"/>
          </w:tcPr>
          <w:p>
            <w:r/>
            <w:r>
              <w:rPr>
                <w:b/>
                <w:i w:val="0"/>
                <w:sz w:val="18"/>
              </w:rPr>
              <w:t>Total anual</w:t>
            </w:r>
          </w:p>
        </w:tc>
        <w:tc>
          <w:tcPr>
            <w:tcW w:type="dxa" w:w="2268"/>
          </w:tcPr>
          <w:p>
            <w:r>
              <w:rPr>
                <w:b/>
                <w:i w:val="0"/>
                <w:sz w:val="18"/>
              </w:rPr>
              <w:t>76</w:t>
            </w:r>
          </w:p>
        </w:tc>
      </w:tr>
    </w:tbl>
    <w:p>
      <w:pPr>
        <w:spacing w:after="0"/>
      </w:pPr>
      <w:r>
        <w:rPr>
          <w:b/>
          <w:i w:val="0"/>
          <w:sz w:val="16"/>
        </w:rPr>
        <w:t xml:space="preserve">Nota: </w:t>
      </w:r>
      <w:r>
        <w:rPr>
          <w:b w:val="0"/>
          <w:i w:val="0"/>
          <w:sz w:val="16"/>
        </w:rPr>
        <w:t xml:space="preserve">Horas por unidad según la sección «Organización curricular del eje Física» del Programa (pág. 196). El Programa no indica semanas por unidad: el período se calculó repartiendo cada semestre según las horas. </w:t>
      </w:r>
      <w:r>
        <w:rPr>
          <w:b/>
          <w:i w:val="0"/>
          <w:sz w:val="16"/>
        </w:rPr>
        <w:t xml:space="preserve">Calendario: </w:t>
      </w:r>
      <w:r>
        <w:rPr>
          <w:b w:val="0"/>
          <w:i w:val="0"/>
          <w:sz w:val="16"/>
        </w:rPr>
        <w:t>genérico de 38 semanas lectivas, 19 por semestre, numeradas de corrido en el año. Ajuste las semanas a las fechas del calendario escolar 2027 de la Seremi de Educación de su región (inicio y término de cada semestre y vacaciones de invierno).</w:t>
      </w:r>
    </w:p>
    <w:p>
      <w:pPr>
        <w:pStyle w:val="Heading1"/>
      </w:pPr>
      <w:r>
        <w:t>D. Planificación por unidad</w:t>
      </w:r>
    </w:p>
    <w:p>
      <w:pPr>
        <w:spacing w:after="80"/>
      </w:pPr>
      <w:r>
        <w:rPr>
          <w:b w:val="0"/>
          <w:i w:val="0"/>
          <w:sz w:val="16"/>
        </w:rPr>
        <w:t xml:space="preserve">Cada unidad indica los OA que trabaja según el Programa; el texto completo está en el Anexo G. </w:t>
      </w:r>
      <w:r>
        <w:rPr>
          <w:b w:val="0"/>
          <w:i w:val="0"/>
          <w:sz w:val="16"/>
        </w:rPr>
        <w:t xml:space="preserve">Los indicadores son los que el Programa asocia a sus Ejemplos de evaluación de cada unidad. Todo el texto en letra normal es literal del Programa o de las Bases; lo marcado como </w:t>
      </w:r>
      <w:r>
        <w:rPr>
          <w:b/>
          <w:i/>
          <w:color w:val="595959"/>
          <w:sz w:val="16"/>
        </w:rPr>
        <w:t>Sugerencia — revisar</w:t>
      </w:r>
      <w:r>
        <w:rPr>
          <w:b w:val="0"/>
          <w:i w:val="0"/>
          <w:sz w:val="16"/>
        </w:rPr>
        <w:t xml:space="preserve"> es una propuesta para que el docente la ajuste.</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57"/>
        <w:gridCol w:w="1134"/>
        <w:gridCol w:w="1134"/>
        <w:gridCol w:w="2438"/>
        <w:gridCol w:w="2438"/>
        <w:gridCol w:w="3175"/>
        <w:gridCol w:w="1474"/>
        <w:gridCol w:w="1871"/>
        <w:gridCol w:w="1247"/>
      </w:tblGrid>
      <w:tr>
        <w:trPr>
          <w:tblHeader w:val="true"/>
        </w:trPr>
        <w:tc>
          <w:tcPr>
            <w:tcW w:type="dxa" w:w="1757"/>
          </w:tcPr>
          <w:p>
            <w:r/>
            <w:r>
              <w:rPr>
                <w:b/>
                <w:i w:val="0"/>
                <w:sz w:val="16"/>
              </w:rPr>
              <w:t>Unidad</w:t>
            </w:r>
          </w:p>
        </w:tc>
        <w:tc>
          <w:tcPr>
            <w:tcW w:type="dxa" w:w="1134"/>
          </w:tcPr>
          <w:p>
            <w:r/>
            <w:r>
              <w:rPr>
                <w:b/>
                <w:i w:val="0"/>
                <w:sz w:val="16"/>
              </w:rPr>
              <w:t>Período y horas</w:t>
            </w:r>
          </w:p>
        </w:tc>
        <w:tc>
          <w:tcPr>
            <w:tcW w:type="dxa" w:w="1134"/>
          </w:tcPr>
          <w:p>
            <w:r/>
            <w:r>
              <w:rPr>
                <w:b/>
                <w:i w:val="0"/>
                <w:sz w:val="16"/>
              </w:rPr>
              <w:t>OA</w:t>
            </w:r>
          </w:p>
        </w:tc>
        <w:tc>
          <w:tcPr>
            <w:tcW w:type="dxa" w:w="2438"/>
          </w:tcPr>
          <w:p>
            <w:r/>
            <w:r>
              <w:rPr>
                <w:b/>
                <w:i w:val="0"/>
                <w:sz w:val="16"/>
              </w:rPr>
              <w:t>Foco de la unidad</w:t>
            </w:r>
          </w:p>
        </w:tc>
        <w:tc>
          <w:tcPr>
            <w:tcW w:type="dxa" w:w="2438"/>
          </w:tcPr>
          <w:p>
            <w:r/>
            <w:r>
              <w:rPr>
                <w:b/>
                <w:i w:val="0"/>
                <w:sz w:val="16"/>
              </w:rPr>
              <w:t>Conocimientos y vocabulario</w:t>
            </w:r>
          </w:p>
        </w:tc>
        <w:tc>
          <w:tcPr>
            <w:tcW w:type="dxa" w:w="3175"/>
          </w:tcPr>
          <w:p>
            <w:r/>
            <w:r>
              <w:rPr>
                <w:b/>
                <w:i w:val="0"/>
                <w:sz w:val="16"/>
              </w:rPr>
              <w:t>Indicadores de evaluación</w:t>
            </w:r>
          </w:p>
        </w:tc>
        <w:tc>
          <w:tcPr>
            <w:tcW w:type="dxa" w:w="1474"/>
          </w:tcPr>
          <w:p>
            <w:r/>
            <w:r>
              <w:rPr>
                <w:b/>
                <w:i w:val="0"/>
                <w:sz w:val="16"/>
              </w:rPr>
              <w:t>Actitudes</w:t>
            </w:r>
          </w:p>
        </w:tc>
        <w:tc>
          <w:tcPr>
            <w:tcW w:type="dxa" w:w="1871"/>
          </w:tcPr>
          <w:p>
            <w:r/>
            <w:r>
              <w:rPr>
                <w:b/>
                <w:i w:val="0"/>
                <w:sz w:val="16"/>
              </w:rPr>
              <w:t>Evaluación</w:t>
            </w:r>
          </w:p>
        </w:tc>
        <w:tc>
          <w:tcPr>
            <w:tcW w:type="dxa" w:w="1247"/>
          </w:tcPr>
          <w:p>
            <w:r/>
            <w:r>
              <w:rPr>
                <w:b/>
                <w:i w:val="0"/>
                <w:sz w:val="16"/>
              </w:rPr>
              <w:t>Recursos</w:t>
            </w:r>
          </w:p>
        </w:tc>
      </w:tr>
      <w:tr>
        <w:tc>
          <w:tcPr>
            <w:tcW w:type="dxa" w:w="1757"/>
          </w:tcPr>
          <w:p>
            <w:r/>
            <w:r>
              <w:rPr>
                <w:b/>
                <w:i w:val="0"/>
                <w:sz w:val="16"/>
              </w:rPr>
              <w:t>Unidad 1</w:t>
            </w:r>
          </w:p>
          <w:p>
            <w:r>
              <w:rPr>
                <w:b/>
                <w:i w:val="0"/>
                <w:sz w:val="16"/>
              </w:rPr>
              <w:t>Movimiento rectilíneo</w:t>
            </w:r>
          </w:p>
          <w:p>
            <w:r>
              <w:rPr>
                <w:b w:val="0"/>
                <w:i w:val="0"/>
                <w:sz w:val="15"/>
              </w:rPr>
              <w:t>En esta unidad se aborda el movimiento rectilíneo de un cuerpo u objeto.</w:t>
            </w:r>
          </w:p>
          <w:p>
            <w:r>
              <w:rPr>
                <w:b w:val="0"/>
                <w:i w:val="0"/>
                <w:color w:val="595959"/>
                <w:sz w:val="14"/>
              </w:rPr>
              <w:t>Programa, págs. 206–229</w:t>
            </w:r>
          </w:p>
        </w:tc>
        <w:tc>
          <w:tcPr>
            <w:tcW w:type="dxa" w:w="1134"/>
          </w:tcPr>
          <w:p>
            <w:r/>
            <w:r>
              <w:rPr>
                <w:b/>
                <w:i w:val="0"/>
                <w:sz w:val="15"/>
              </w:rPr>
              <w:t>Semestre 1</w:t>
            </w:r>
          </w:p>
          <w:p>
            <w:r>
              <w:rPr>
                <w:b w:val="0"/>
                <w:i w:val="0"/>
                <w:sz w:val="15"/>
              </w:rPr>
              <w:t>17 h pedagógicas</w:t>
            </w:r>
          </w:p>
          <w:p>
            <w:r>
              <w:rPr>
                <w:b w:val="0"/>
                <w:i w:val="0"/>
                <w:color w:val="595959"/>
                <w:sz w:val="15"/>
              </w:rPr>
              <w:t>Semanas 1 a 10</w:t>
            </w:r>
          </w:p>
        </w:tc>
        <w:tc>
          <w:tcPr>
            <w:tcW w:type="dxa" w:w="1134"/>
          </w:tcPr>
          <w:p>
            <w:r/>
            <w:r>
              <w:rPr>
                <w:b/>
                <w:i w:val="0"/>
                <w:sz w:val="15"/>
              </w:rPr>
              <w:t>OA 9</w:t>
            </w:r>
          </w:p>
          <w:p>
            <w:r>
              <w:rPr>
                <w:b w:val="0"/>
                <w:i w:val="0"/>
                <w:color w:val="595959"/>
                <w:sz w:val="14"/>
              </w:rPr>
              <w:t>(texto en Anexo G)</w:t>
            </w:r>
          </w:p>
          <w:p>
            <w:r>
              <w:rPr>
                <w:b w:val="0"/>
                <w:i w:val="0"/>
                <w:sz w:val="14"/>
              </w:rPr>
              <w:t>Evaluados en los ejemplos del Programa:</w:t>
            </w:r>
          </w:p>
          <w:p>
            <w:r>
              <w:rPr>
                <w:b/>
                <w:i w:val="0"/>
                <w:sz w:val="15"/>
              </w:rPr>
              <w:t>OA 9</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explicaciones, las predicciones y las conclusiones.</w:t>
              <w:br/>
              <w:t>- Las posibles aplicaciones tecnológicas.</w:t>
              <w:br/>
              <w:t>- El desempeño personal y grupal. (OA k)</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Sistema de referencia y sistema de coordenadas.</w:t>
            </w:r>
          </w:p>
          <w:p>
            <w:pPr>
              <w:pStyle w:val="ListBullet"/>
              <w:spacing w:after="20"/>
              <w:ind w:left="198" w:hanging="170"/>
            </w:pPr>
            <w:r>
              <w:rPr>
                <w:b w:val="0"/>
                <w:i w:val="0"/>
                <w:sz w:val="15"/>
              </w:rPr>
              <w:t>Relatividad clásica y la adición de velocidades de Galileo.</w:t>
            </w:r>
          </w:p>
          <w:p>
            <w:pPr>
              <w:pStyle w:val="ListBullet"/>
              <w:spacing w:after="20"/>
              <w:ind w:left="198" w:hanging="170"/>
            </w:pPr>
            <w:r>
              <w:rPr>
                <w:b w:val="0"/>
                <w:i w:val="0"/>
                <w:sz w:val="15"/>
              </w:rPr>
              <w:t>Conceptos de trayectoria, distancia recorrida, desplazamiento, rapidez y velocidad.</w:t>
            </w:r>
          </w:p>
          <w:p>
            <w:pPr>
              <w:pStyle w:val="ListBullet"/>
              <w:spacing w:after="20"/>
              <w:ind w:left="198" w:hanging="170"/>
            </w:pPr>
            <w:r>
              <w:rPr>
                <w:b w:val="0"/>
                <w:i w:val="0"/>
                <w:sz w:val="15"/>
              </w:rPr>
              <w:t>Diferencias entre rapidez de velocidad, rapidez media de rapidez instantánea y velocidad media de velocidad instantánea.</w:t>
            </w:r>
          </w:p>
          <w:p>
            <w:pPr>
              <w:pStyle w:val="ListBullet"/>
              <w:spacing w:after="20"/>
              <w:ind w:left="198" w:hanging="170"/>
            </w:pPr>
            <w:r>
              <w:rPr>
                <w:b w:val="0"/>
                <w:i w:val="0"/>
                <w:sz w:val="15"/>
              </w:rPr>
              <w:t>Descripción analítica y gráfica del movimiento rectilíneo uniforme (MRU).</w:t>
            </w:r>
          </w:p>
          <w:p>
            <w:pPr>
              <w:pStyle w:val="ListBullet"/>
              <w:spacing w:after="20"/>
              <w:ind w:left="198" w:hanging="170"/>
            </w:pPr>
            <w:r>
              <w:rPr>
                <w:b w:val="0"/>
                <w:i w:val="0"/>
                <w:sz w:val="15"/>
              </w:rPr>
              <w:t>Descripción analítica y gráfica del movimiento rectilíneo uniforme acelerado (MRUA).</w:t>
            </w:r>
          </w:p>
          <w:p>
            <w:pPr>
              <w:pStyle w:val="ListBullet"/>
              <w:spacing w:after="20"/>
              <w:ind w:left="198" w:hanging="170"/>
            </w:pPr>
            <w:r>
              <w:rPr>
                <w:b w:val="0"/>
                <w:i w:val="0"/>
                <w:sz w:val="15"/>
              </w:rPr>
              <w:t>Confección de gráficos para el MRU y para el MRUA, de posición en función del tiempo, de velocidad en función del tiempo y de aceleración en función del tiempo.</w:t>
            </w:r>
          </w:p>
          <w:p>
            <w:pPr>
              <w:pStyle w:val="ListBullet"/>
              <w:spacing w:after="20"/>
              <w:ind w:left="198" w:hanging="170"/>
            </w:pPr>
            <w:r>
              <w:rPr>
                <w:b w:val="0"/>
                <w:i w:val="0"/>
                <w:sz w:val="15"/>
              </w:rPr>
              <w:t>Interpretación de gráficos del MRU y MRUA.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Sistema de referencia, sistema de coordenadas, relatividad del movimiento, trayectoria, distancia recorrida, desplazamiento, rapidez media, rapidez instantánea, velocidad media, velocidad instantánea, aceleración media, aceleración de gravedad, adición de velocidades de Galileo. MOVIMIENTO RECTILÍNEO</w:t>
            </w:r>
          </w:p>
        </w:tc>
        <w:tc>
          <w:tcPr>
            <w:tcW w:type="dxa" w:w="3175"/>
          </w:tcPr>
          <w:p>
            <w:r/>
            <w:r>
              <w:rPr>
                <w:b/>
                <w:i w:val="0"/>
                <w:sz w:val="15"/>
              </w:rPr>
              <w:t>Evaluación 1 (OA 9) · pág. 223</w:t>
            </w:r>
          </w:p>
          <w:p>
            <w:pPr>
              <w:pStyle w:val="ListBullet"/>
              <w:spacing w:after="20"/>
              <w:ind w:left="198" w:hanging="170"/>
            </w:pPr>
            <w:r>
              <w:rPr>
                <w:b w:val="0"/>
                <w:i w:val="0"/>
                <w:sz w:val="15"/>
              </w:rPr>
              <w:t>Demuestran, con experimentos sencillos, por qué es necesario el uso de sistemas de referencia y de coordenadas en la descripción del movimiento de un objeto.</w:t>
            </w:r>
          </w:p>
          <w:p>
            <w:pPr>
              <w:pStyle w:val="ListBullet"/>
              <w:spacing w:after="20"/>
              <w:ind w:left="198" w:hanging="170"/>
            </w:pPr>
            <w:r>
              <w:rPr>
                <w:b w:val="0"/>
                <w:i w:val="0"/>
                <w:sz w:val="15"/>
              </w:rPr>
              <w:t>Utilizan las fórmulas de adición de velocidades de Galileo en situaciones simples y cotidianas, como la de vehículos que se mueven unidimensionalmente.</w:t>
            </w:r>
          </w:p>
          <w:p>
            <w:pPr>
              <w:pStyle w:val="ListBullet"/>
              <w:spacing w:after="20"/>
              <w:ind w:left="198" w:hanging="170"/>
            </w:pPr>
            <w:r>
              <w:rPr>
                <w:b w:val="0"/>
                <w:i w:val="0"/>
                <w:sz w:val="15"/>
              </w:rPr>
              <w:t>Explican conceptos de cinemática, como tiempo transcurrido, posición, desplazamiento, distancia recorrida, velocidad media e instantánea y aceleración, entre otros, asociados al movimiento rectilíneo de un objeto.</w:t>
            </w:r>
          </w:p>
          <w:p>
            <w:pPr>
              <w:pStyle w:val="ListBullet"/>
              <w:spacing w:after="20"/>
              <w:ind w:left="198" w:hanging="170"/>
            </w:pPr>
            <w:r>
              <w:rPr>
                <w:b w:val="0"/>
                <w:i w:val="0"/>
                <w:sz w:val="15"/>
              </w:rPr>
              <w:t>Utilizan modelos para apoyar explicaciones y la formulación de predicciones.</w:t>
            </w:r>
          </w:p>
          <w:p>
            <w:r>
              <w:rPr>
                <w:b/>
                <w:i w:val="0"/>
                <w:sz w:val="15"/>
              </w:rPr>
              <w:t>Evaluación 2 (OA 9) · pág. 225</w:t>
            </w:r>
          </w:p>
          <w:p>
            <w:pPr>
              <w:pStyle w:val="ListBullet"/>
              <w:spacing w:after="20"/>
              <w:ind w:left="198" w:hanging="170"/>
            </w:pPr>
            <w:r>
              <w:rPr>
                <w:b w:val="0"/>
                <w:i w:val="0"/>
                <w:sz w:val="15"/>
              </w:rPr>
              <w:t>Demuestran, con experimentos sencillos, por qué es necesario el uso de sistemas de referencia y de coordenadas en la descripción del movimiento de un objeto.</w:t>
            </w:r>
          </w:p>
          <w:p>
            <w:pPr>
              <w:pStyle w:val="ListBullet"/>
              <w:spacing w:after="20"/>
              <w:ind w:left="198" w:hanging="170"/>
            </w:pPr>
            <w:r>
              <w:rPr>
                <w:b w:val="0"/>
                <w:i w:val="0"/>
                <w:sz w:val="15"/>
              </w:rPr>
              <w:t>Utilizan las fórmulas de adición de velocidades de Galileo en situaciones simples y cotidianas, como la de vehículos que se mueven unidimensionalmente.</w:t>
            </w:r>
          </w:p>
          <w:p>
            <w:pPr>
              <w:pStyle w:val="ListBullet"/>
              <w:spacing w:after="20"/>
              <w:ind w:left="198" w:hanging="170"/>
            </w:pPr>
            <w:r>
              <w:rPr>
                <w:b w:val="0"/>
                <w:i w:val="0"/>
                <w:sz w:val="15"/>
              </w:rPr>
              <w:t>Reconocen que dos o más observadores pueden tener distintas percepciones de un mismo fenómeno o problema científico.</w:t>
            </w:r>
          </w:p>
          <w:p>
            <w:r>
              <w:rPr>
                <w:b/>
                <w:i w:val="0"/>
                <w:sz w:val="15"/>
              </w:rPr>
              <w:t>Evaluación 3 (OA 9) · pág. 226</w:t>
            </w:r>
          </w:p>
          <w:p>
            <w:pPr>
              <w:pStyle w:val="ListBullet"/>
              <w:spacing w:after="20"/>
              <w:ind w:left="198" w:hanging="170"/>
            </w:pPr>
            <w:r>
              <w:rPr>
                <w:b w:val="0"/>
                <w:i w:val="0"/>
                <w:sz w:val="15"/>
              </w:rPr>
              <w:t>Demuestran, con experimentos sencillos, por qué es necesario el uso de sistemas de referencia y de coordenadas en la descripción del movimiento de un objeto.</w:t>
            </w:r>
          </w:p>
          <w:p>
            <w:pPr>
              <w:pStyle w:val="ListBullet"/>
              <w:spacing w:after="20"/>
              <w:ind w:left="198" w:hanging="170"/>
            </w:pPr>
            <w:r>
              <w:rPr>
                <w:b w:val="0"/>
                <w:i w:val="0"/>
                <w:sz w:val="15"/>
              </w:rPr>
              <w:t>Explican el concepto de aceleración de gravedad incluyendo su desarrollo histórico, y consideran su uso en situaciones de caída libre y lanzamientos verticales.</w:t>
            </w:r>
          </w:p>
          <w:p>
            <w:pPr>
              <w:pStyle w:val="ListBullet"/>
              <w:spacing w:after="20"/>
              <w:ind w:left="198" w:hanging="170"/>
            </w:pPr>
            <w:r>
              <w:rPr>
                <w:b w:val="0"/>
                <w:i w:val="0"/>
                <w:sz w:val="15"/>
              </w:rPr>
              <w:t>Modelan resultados experimentales para apoyar explicaciones de las conclusiones de una investigación.</w:t>
            </w:r>
          </w:p>
          <w:p>
            <w:pPr>
              <w:pStyle w:val="ListBullet"/>
              <w:spacing w:after="20"/>
              <w:ind w:left="198" w:hanging="170"/>
            </w:pPr>
            <w:r>
              <w:rPr>
                <w:b w:val="0"/>
                <w:i w:val="0"/>
                <w:sz w:val="15"/>
              </w:rPr>
              <w:t>Plantean conclusiones de una investigación basándose en las evidencias, resultados, relaciones halladas entre las variables y las inferencias e interpretaciones formuladas.</w:t>
            </w:r>
          </w:p>
          <w:p>
            <w:r>
              <w:rPr>
                <w:b/>
                <w:i w:val="0"/>
                <w:sz w:val="15"/>
              </w:rPr>
              <w:t>Evaluación 4 (OA 9) · pág. 228</w:t>
            </w:r>
          </w:p>
          <w:p>
            <w:pPr>
              <w:pStyle w:val="ListBullet"/>
              <w:spacing w:after="20"/>
              <w:ind w:left="198" w:hanging="170"/>
            </w:pPr>
            <w:r>
              <w:rPr>
                <w:b w:val="0"/>
                <w:i w:val="0"/>
                <w:sz w:val="15"/>
              </w:rPr>
              <w:t>Analizan, con conceptos de cinemática y herramientas gráficas y analíticas, el movimiento rectilíneo de un objeto en situaciones cotidianas.</w:t>
            </w:r>
          </w:p>
          <w:p>
            <w:pPr>
              <w:pStyle w:val="ListBullet"/>
              <w:spacing w:after="20"/>
              <w:ind w:left="198" w:hanging="170"/>
            </w:pPr>
            <w:r>
              <w:rPr>
                <w:b w:val="0"/>
                <w:i w:val="0"/>
                <w:sz w:val="15"/>
              </w:rPr>
              <w:t>Modelan resultados experimentales para apoyar explicaciones de las conclusiones de una investigación.</w:t>
            </w:r>
          </w:p>
          <w:p>
            <w:pPr>
              <w:pStyle w:val="ListBullet"/>
              <w:spacing w:after="20"/>
              <w:ind w:left="198" w:hanging="170"/>
            </w:pPr>
            <w:r>
              <w:rPr>
                <w:b w:val="0"/>
                <w:i w:val="0"/>
                <w:sz w:val="15"/>
              </w:rPr>
              <w:t>Examinan las variables analizadas identificando su importancia en la investigación.</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tc>
        <w:tc>
          <w:tcPr>
            <w:tcW w:type="dxa" w:w="1871"/>
          </w:tcPr>
          <w:p>
            <w:r/>
            <w:r>
              <w:rPr>
                <w:b/>
                <w:i w:val="0"/>
                <w:sz w:val="15"/>
              </w:rPr>
              <w:t xml:space="preserve">Diagnóstica. </w:t>
            </w:r>
            <w:r>
              <w:rPr>
                <w:b/>
                <w:i/>
                <w:color w:val="595959"/>
                <w:sz w:val="15"/>
              </w:rPr>
              <w:t xml:space="preserve">Sugerencia — revisar: </w:t>
            </w:r>
            <w:r>
              <w:rPr>
                <w:b w:val="0"/>
                <w:i/>
                <w:color w:val="595959"/>
                <w:sz w:val="15"/>
              </w:rPr>
              <w:t>Al inicio del año: preguntas breves sobre ondas, luz y sistema solar (1° medio) y sobre gráficos.</w:t>
            </w:r>
          </w:p>
          <w:p>
            <w:r>
              <w:rPr>
                <w:b/>
                <w:i w:val="0"/>
                <w:sz w:val="15"/>
              </w:rPr>
              <w:t xml:space="preserve">Formativa. </w:t>
            </w:r>
            <w:r>
              <w:rPr>
                <w:b/>
                <w:i/>
                <w:color w:val="595959"/>
                <w:sz w:val="15"/>
              </w:rPr>
              <w:t xml:space="preserve">Sugerencia — revisar: </w:t>
            </w:r>
            <w:r>
              <w:rPr>
                <w:b w:val="0"/>
                <w:i/>
                <w:color w:val="595959"/>
                <w:sz w:val="15"/>
              </w:rPr>
              <w:t>Toma de datos de movimiento con celular o cronómetro y gráficos revisados; tickets de salida.</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completa el siguiente esquema con las ideas y conceptos necesarios para describir un movimiento: Para describir el movimiento de un objeto siempre es necesario un sistema... (pág. 223)</w:t>
            </w:r>
          </w:p>
          <w:p>
            <w:pPr>
              <w:pStyle w:val="ListBullet"/>
              <w:spacing w:after="20"/>
              <w:ind w:left="198" w:hanging="170"/>
            </w:pPr>
            <w:r>
              <w:rPr>
                <w:b/>
                <w:i w:val="0"/>
                <w:sz w:val="15"/>
              </w:rPr>
              <w:t xml:space="preserve">Evaluación 2: </w:t>
            </w:r>
            <w:r>
              <w:rPr>
                <w:b w:val="0"/>
                <w:i w:val="0"/>
                <w:sz w:val="15"/>
              </w:rPr>
              <w:t>Cada estudiante lleva a cabo lo solicitado a continuación. (pág. 225)</w:t>
            </w:r>
          </w:p>
          <w:p>
            <w:pPr>
              <w:pStyle w:val="ListBullet"/>
              <w:spacing w:after="20"/>
              <w:ind w:left="198" w:hanging="170"/>
            </w:pPr>
            <w:r>
              <w:rPr>
                <w:b/>
                <w:i w:val="0"/>
                <w:sz w:val="15"/>
              </w:rPr>
              <w:t xml:space="preserve">Evaluación 3: </w:t>
            </w:r>
            <w:r>
              <w:rPr>
                <w:b w:val="0"/>
                <w:i w:val="0"/>
                <w:sz w:val="15"/>
              </w:rPr>
              <w:t>Cada estudiante realiza lo que se solicita a continuación. (pág. 226)</w:t>
            </w:r>
          </w:p>
          <w:p>
            <w:pPr>
              <w:pStyle w:val="ListBullet"/>
              <w:spacing w:after="20"/>
              <w:ind w:left="198" w:hanging="170"/>
            </w:pPr>
            <w:r>
              <w:rPr>
                <w:b/>
                <w:i w:val="0"/>
                <w:sz w:val="15"/>
              </w:rPr>
              <w:t xml:space="preserve">Evaluación 4: </w:t>
            </w:r>
            <w:r>
              <w:rPr>
                <w:b w:val="0"/>
                <w:i w:val="0"/>
                <w:sz w:val="15"/>
              </w:rPr>
              <w:t>Cada estudiante lee la situación que se presenta y observa el gráfico. (pág. 228)</w:t>
            </w:r>
          </w:p>
        </w:tc>
        <w:tc>
          <w:tcPr>
            <w:tcW w:type="dxa" w:w="1247"/>
          </w:tcPr>
          <w:p>
            <w:r/>
            <w:r>
              <w:rPr>
                <w:b/>
                <w:i/>
                <w:color w:val="595959"/>
                <w:sz w:val="15"/>
              </w:rPr>
              <w:t xml:space="preserve">Sugerencia — revisar: </w:t>
            </w:r>
            <w:r>
              <w:rPr>
                <w:b w:val="0"/>
                <w:i/>
                <w:color w:val="595959"/>
                <w:sz w:val="15"/>
              </w:rPr>
              <w:t>Cronómetros, huinchas, aplicaciones de sensores del celular; simulaciones PhET de movimiento.</w:t>
            </w:r>
          </w:p>
        </w:tc>
      </w:tr>
      <w:tr>
        <w:tc>
          <w:tcPr>
            <w:tcW w:type="dxa" w:w="1757"/>
          </w:tcPr>
          <w:p>
            <w:r/>
            <w:r>
              <w:rPr>
                <w:b/>
                <w:i w:val="0"/>
                <w:sz w:val="16"/>
              </w:rPr>
              <w:t>Unidad 2</w:t>
            </w:r>
          </w:p>
          <w:p>
            <w:r>
              <w:rPr>
                <w:b/>
                <w:i w:val="0"/>
                <w:sz w:val="16"/>
              </w:rPr>
              <w:t>Fuerza</w:t>
            </w:r>
          </w:p>
          <w:p>
            <w:r>
              <w:rPr>
                <w:b w:val="0"/>
                <w:i w:val="0"/>
                <w:sz w:val="15"/>
              </w:rPr>
              <w:t>En esta unidad se aborda uno de los temas más importantes de la física: el concepto de fuerza, respecto del cual ha existido una aproximación cualitativa en cursos anteriores, mediante el análisis y reflexión de situaciones simples.</w:t>
            </w:r>
          </w:p>
          <w:p>
            <w:r>
              <w:rPr>
                <w:b w:val="0"/>
                <w:i w:val="0"/>
                <w:color w:val="595959"/>
                <w:sz w:val="14"/>
              </w:rPr>
              <w:t>Programa, págs. 230–253</w:t>
            </w:r>
          </w:p>
        </w:tc>
        <w:tc>
          <w:tcPr>
            <w:tcW w:type="dxa" w:w="1134"/>
          </w:tcPr>
          <w:p>
            <w:r/>
            <w:r>
              <w:rPr>
                <w:b/>
                <w:i w:val="0"/>
                <w:sz w:val="15"/>
              </w:rPr>
              <w:t>Semestre 1</w:t>
            </w:r>
          </w:p>
          <w:p>
            <w:r>
              <w:rPr>
                <w:b w:val="0"/>
                <w:i w:val="0"/>
                <w:sz w:val="15"/>
              </w:rPr>
              <w:t>15 h pedagógicas</w:t>
            </w:r>
          </w:p>
          <w:p>
            <w:r>
              <w:rPr>
                <w:b w:val="0"/>
                <w:i w:val="0"/>
                <w:color w:val="595959"/>
                <w:sz w:val="15"/>
              </w:rPr>
              <w:t>Semanas 11 a 19</w:t>
            </w:r>
          </w:p>
        </w:tc>
        <w:tc>
          <w:tcPr>
            <w:tcW w:type="dxa" w:w="1134"/>
          </w:tcPr>
          <w:p>
            <w:r/>
            <w:r>
              <w:rPr>
                <w:b/>
                <w:i w:val="0"/>
                <w:sz w:val="15"/>
              </w:rPr>
              <w:t>OA 10</w:t>
            </w:r>
          </w:p>
          <w:p>
            <w:r>
              <w:rPr>
                <w:b w:val="0"/>
                <w:i w:val="0"/>
                <w:color w:val="595959"/>
                <w:sz w:val="14"/>
              </w:rPr>
              <w:t>(texto en Anexo G)</w:t>
            </w:r>
          </w:p>
          <w:p>
            <w:r>
              <w:rPr>
                <w:b w:val="0"/>
                <w:i w:val="0"/>
                <w:sz w:val="14"/>
              </w:rPr>
              <w:t>Evaluados en los ejemplos del Programa:</w:t>
            </w:r>
          </w:p>
          <w:p>
            <w:r>
              <w:rPr>
                <w:b/>
                <w:i w:val="0"/>
                <w:sz w:val="15"/>
              </w:rPr>
              <w:t>OA 10</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explicaciones, las predicciones y las conclusiones.</w:t>
              <w:br/>
              <w:t>- Las posibles aplicaciones tecnológicas.</w:t>
              <w:br/>
              <w:t>- El desempeño personal y grupal. (OA k)</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tc>
        <w:tc>
          <w:tcPr>
            <w:tcW w:type="dxa" w:w="2438"/>
          </w:tcPr>
          <w:p>
            <w:r/>
            <w:r>
              <w:rPr>
                <w:b/>
                <w:i w:val="0"/>
                <w:sz w:val="15"/>
              </w:rPr>
              <w:t>Conocimientos</w:t>
            </w:r>
          </w:p>
          <w:p>
            <w:pPr>
              <w:pStyle w:val="ListBullet"/>
              <w:spacing w:after="20"/>
              <w:ind w:left="198" w:hanging="170"/>
            </w:pPr>
            <w:r>
              <w:rPr>
                <w:b w:val="0"/>
                <w:i w:val="0"/>
                <w:sz w:val="15"/>
              </w:rPr>
              <w:t>Características de las fuerzas.</w:t>
            </w:r>
          </w:p>
          <w:p>
            <w:pPr>
              <w:pStyle w:val="ListBullet"/>
              <w:spacing w:after="20"/>
              <w:ind w:left="198" w:hanging="170"/>
            </w:pPr>
            <w:r>
              <w:rPr>
                <w:b w:val="0"/>
                <w:i w:val="0"/>
                <w:sz w:val="15"/>
              </w:rPr>
              <w:t>Tipos de fuerza comunes como peso, normal y roce.</w:t>
            </w:r>
          </w:p>
          <w:p>
            <w:pPr>
              <w:pStyle w:val="ListBullet"/>
              <w:spacing w:after="20"/>
              <w:ind w:left="198" w:hanging="170"/>
            </w:pPr>
            <w:r>
              <w:rPr>
                <w:b w:val="0"/>
                <w:i w:val="0"/>
                <w:sz w:val="15"/>
              </w:rPr>
              <w:t>Diagrama de cuerpo libre.</w:t>
            </w:r>
          </w:p>
          <w:p>
            <w:pPr>
              <w:pStyle w:val="ListBullet"/>
              <w:spacing w:after="20"/>
              <w:ind w:left="198" w:hanging="170"/>
            </w:pPr>
            <w:r>
              <w:rPr>
                <w:b w:val="0"/>
                <w:i w:val="0"/>
                <w:sz w:val="15"/>
              </w:rPr>
              <w:t>Ley de Hooke.</w:t>
            </w:r>
          </w:p>
          <w:p>
            <w:pPr>
              <w:pStyle w:val="ListBullet"/>
              <w:spacing w:after="20"/>
              <w:ind w:left="198" w:hanging="170"/>
            </w:pPr>
            <w:r>
              <w:rPr>
                <w:b w:val="0"/>
                <w:i w:val="0"/>
                <w:sz w:val="15"/>
              </w:rPr>
              <w:t>Fuerza neta como resultado de la suma de fuerzas sobre un cuerpo.</w:t>
            </w:r>
          </w:p>
          <w:p>
            <w:pPr>
              <w:pStyle w:val="ListBullet"/>
              <w:spacing w:after="20"/>
              <w:ind w:left="198" w:hanging="170"/>
            </w:pPr>
            <w:r>
              <w:rPr>
                <w:b w:val="0"/>
                <w:i w:val="0"/>
                <w:sz w:val="15"/>
              </w:rPr>
              <w:t>Primer principio de Newton o principio de inercia.</w:t>
            </w:r>
          </w:p>
          <w:p>
            <w:pPr>
              <w:pStyle w:val="ListBullet"/>
              <w:spacing w:after="20"/>
              <w:ind w:left="198" w:hanging="170"/>
            </w:pPr>
            <w:r>
              <w:rPr>
                <w:b w:val="0"/>
                <w:i w:val="0"/>
                <w:sz w:val="15"/>
              </w:rPr>
              <w:t>Segundo principio de Newton o principio de masa.</w:t>
            </w:r>
          </w:p>
          <w:p>
            <w:pPr>
              <w:pStyle w:val="ListBullet"/>
              <w:spacing w:after="20"/>
              <w:ind w:left="198" w:hanging="170"/>
            </w:pPr>
            <w:r>
              <w:rPr>
                <w:b w:val="0"/>
                <w:i w:val="0"/>
                <w:sz w:val="15"/>
              </w:rPr>
              <w:t>Tercer principio de Newton o principio de acción y reacción.</w:t>
            </w:r>
          </w:p>
          <w:p>
            <w:pPr>
              <w:pStyle w:val="ListBullet"/>
              <w:spacing w:after="20"/>
              <w:ind w:left="198" w:hanging="170"/>
            </w:pPr>
            <w:r>
              <w:rPr>
                <w:b w:val="0"/>
                <w:i w:val="0"/>
                <w:sz w:val="15"/>
              </w:rPr>
              <w:t>Situaciones cotidianas que se explican basándose en los principios de Newton.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Fuerza, masa, peso, inercia, acción y reacción, ley de Hooke, roce estático, roce cinético o dinámico, cuerpo libre, leyes de Newton. FUERZA</w:t>
            </w:r>
          </w:p>
        </w:tc>
        <w:tc>
          <w:tcPr>
            <w:tcW w:type="dxa" w:w="3175"/>
          </w:tcPr>
          <w:p>
            <w:r/>
            <w:r>
              <w:rPr>
                <w:b/>
                <w:i w:val="0"/>
                <w:sz w:val="15"/>
              </w:rPr>
              <w:t>Evaluación 1 (OA 10) · pág. 246</w:t>
            </w:r>
          </w:p>
          <w:p>
            <w:pPr>
              <w:pStyle w:val="ListBullet"/>
              <w:spacing w:after="20"/>
              <w:ind w:left="198" w:hanging="170"/>
            </w:pPr>
            <w:r>
              <w:rPr>
                <w:b w:val="0"/>
                <w:i w:val="0"/>
                <w:sz w:val="15"/>
              </w:rPr>
              <w:t>Aplican la ley de Hooke en diversas investigaciones experimentales y no experimentales donde se utilizan resortes u otros materiales elásticos.</w:t>
            </w:r>
          </w:p>
          <w:p>
            <w:pPr>
              <w:pStyle w:val="ListBullet"/>
              <w:spacing w:after="20"/>
              <w:ind w:left="198" w:hanging="170"/>
            </w:pPr>
            <w:r>
              <w:rPr>
                <w:b w:val="0"/>
                <w:i w:val="0"/>
                <w:sz w:val="15"/>
              </w:rPr>
              <w:t>Respetan los criterios acordados para trabajar con evidencias e informaciones válidas y confiables.</w:t>
            </w:r>
          </w:p>
          <w:p>
            <w:pPr>
              <w:pStyle w:val="ListBullet"/>
              <w:spacing w:after="20"/>
              <w:ind w:left="198" w:hanging="170"/>
            </w:pPr>
            <w:r>
              <w:rPr>
                <w:b w:val="0"/>
                <w:i w:val="0"/>
                <w:sz w:val="15"/>
              </w:rPr>
              <w:t>Examinan las variables investigadas identificando su importancia en la investigación.</w:t>
            </w:r>
          </w:p>
          <w:p>
            <w:pPr>
              <w:pStyle w:val="ListBullet"/>
              <w:spacing w:after="20"/>
              <w:ind w:left="198" w:hanging="170"/>
            </w:pPr>
            <w:r>
              <w:rPr>
                <w:b w:val="0"/>
                <w:i w:val="0"/>
                <w:sz w:val="15"/>
              </w:rPr>
              <w:t>Seleccionan los recursos comunicacionales más apropiados para ser utilizados según el público receptor al que vaya dirigida la información o explicación.</w:t>
            </w:r>
          </w:p>
          <w:p>
            <w:r>
              <w:rPr>
                <w:b/>
                <w:i w:val="0"/>
                <w:sz w:val="15"/>
              </w:rPr>
              <w:t>Evaluación 2 (OA 10) · pág. 248</w:t>
            </w:r>
          </w:p>
          <w:p>
            <w:pPr>
              <w:pStyle w:val="ListBullet"/>
              <w:spacing w:after="20"/>
              <w:ind w:left="198" w:hanging="170"/>
            </w:pPr>
            <w:r>
              <w:rPr>
                <w:b w:val="0"/>
                <w:i w:val="0"/>
                <w:sz w:val="15"/>
              </w:rPr>
              <w:t>Identifican características generales de las fuerzas, como el hecho de ser magnitudes vectoriales, que no se poseen sino que se aplican y que son interacciones entre dos cuerpos, entre otras.</w:t>
            </w:r>
          </w:p>
          <w:p>
            <w:pPr>
              <w:pStyle w:val="ListBullet"/>
              <w:spacing w:after="20"/>
              <w:ind w:left="198" w:hanging="170"/>
            </w:pPr>
            <w:r>
              <w:rPr>
                <w:b w:val="0"/>
                <w:i w:val="0"/>
                <w:sz w:val="15"/>
              </w:rPr>
              <w:t>Realizan investigaciones experimentales para obtener evidencias de la presencia de fuerzas como peso, roce y normal, que actúan sobre un cuerpo en situaciones cotidianas, describiéndolas cualitativa y cuantitativamente.</w:t>
            </w:r>
          </w:p>
          <w:p>
            <w:pPr>
              <w:pStyle w:val="ListBullet"/>
              <w:spacing w:after="20"/>
              <w:ind w:left="198" w:hanging="170"/>
            </w:pPr>
            <w:r>
              <w:rPr>
                <w:b w:val="0"/>
                <w:i w:val="0"/>
                <w:sz w:val="15"/>
              </w:rPr>
              <w:t>Aplican las leyes de Newton en diversas situaciones cotidianas, como cuando un vehículo frena, acelera o cambia de dirección de su movimiento, entre otras.</w:t>
            </w:r>
          </w:p>
          <w:p>
            <w:pPr>
              <w:pStyle w:val="ListBullet"/>
              <w:spacing w:after="20"/>
              <w:ind w:left="198" w:hanging="170"/>
            </w:pPr>
            <w:r>
              <w:rPr>
                <w:b w:val="0"/>
                <w:i w:val="0"/>
                <w:sz w:val="15"/>
              </w:rPr>
              <w:t>Encuentran, con un diagrama de cuerpo libre, la fuerza neta o resultante sobre un objeto en el que actúa más de una fuerza.</w:t>
            </w:r>
          </w:p>
          <w:p>
            <w:pPr>
              <w:pStyle w:val="ListBullet"/>
              <w:spacing w:after="20"/>
              <w:ind w:left="198" w:hanging="170"/>
            </w:pPr>
            <w:r>
              <w:rPr>
                <w:b w:val="0"/>
                <w:i w:val="0"/>
                <w:sz w:val="15"/>
              </w:rPr>
              <w:t>Modelan resultados experimentales para apoyar explicaciones de las conclusiones obtenidas en una investigación.</w:t>
            </w:r>
          </w:p>
          <w:p>
            <w:pPr>
              <w:pStyle w:val="ListBullet"/>
              <w:spacing w:after="20"/>
              <w:ind w:left="198" w:hanging="170"/>
            </w:pPr>
            <w:r>
              <w:rPr>
                <w:b w:val="0"/>
                <w:i w:val="0"/>
                <w:sz w:val="15"/>
              </w:rPr>
              <w:t>Plantean conclusiones de una investigación basándose en las evidencias, resultados y relaciones halladas entre las variables y las inferencias e interpretaciones formuladas.</w:t>
            </w:r>
          </w:p>
          <w:p>
            <w:r>
              <w:rPr>
                <w:b/>
                <w:i w:val="0"/>
                <w:sz w:val="15"/>
              </w:rPr>
              <w:t>Evaluación 3 (OA 10) · pág. 250</w:t>
            </w:r>
          </w:p>
          <w:p>
            <w:pPr>
              <w:pStyle w:val="ListBullet"/>
              <w:spacing w:after="20"/>
              <w:ind w:left="198" w:hanging="170"/>
            </w:pPr>
            <w:r>
              <w:rPr>
                <w:b w:val="0"/>
                <w:i w:val="0"/>
                <w:sz w:val="15"/>
              </w:rPr>
              <w:t>Identifican características generales de las fuerzas, como el hecho de ser magnitudes vectoriales, que no se poseen sino que se aplican y que son interacciones entre dos cuerpos, entre otras.</w:t>
            </w:r>
          </w:p>
          <w:p>
            <w:pPr>
              <w:pStyle w:val="ListBullet"/>
              <w:spacing w:after="20"/>
              <w:ind w:left="198" w:hanging="170"/>
            </w:pPr>
            <w:r>
              <w:rPr>
                <w:b w:val="0"/>
                <w:i w:val="0"/>
                <w:sz w:val="15"/>
              </w:rPr>
              <w:t>Realizan investigaciones experimentales para obtener evidencias de la presencia de fuerzas como peso, roce y normal, que actúan sobre un cuerpo, en situaciones cotidianas, describiéndolas cualitativa y cuantitativamente.</w:t>
            </w:r>
          </w:p>
          <w:p>
            <w:pPr>
              <w:pStyle w:val="ListBullet"/>
              <w:spacing w:after="20"/>
              <w:ind w:left="198" w:hanging="170"/>
            </w:pPr>
            <w:r>
              <w:rPr>
                <w:b w:val="0"/>
                <w:i w:val="0"/>
                <w:sz w:val="15"/>
              </w:rPr>
              <w:t>Aplican las leyes de Newton en diversas situaciones cotidianas, como cuando un vehículo frena, acelera o cambia de dirección de su movimiento, entre otras.</w:t>
            </w:r>
          </w:p>
          <w:p>
            <w:pPr>
              <w:pStyle w:val="ListBullet"/>
              <w:spacing w:after="20"/>
              <w:ind w:left="198" w:hanging="170"/>
            </w:pPr>
            <w:r>
              <w:rPr>
                <w:b w:val="0"/>
                <w:i w:val="0"/>
                <w:sz w:val="15"/>
              </w:rPr>
              <w:t>Encuentran, con un diagrama de cuerpo libre, la fuerza neta o resultante sobre un objeto en el que actúa más de una fuerza.</w:t>
            </w:r>
          </w:p>
          <w:p>
            <w:pPr>
              <w:pStyle w:val="ListBullet"/>
              <w:spacing w:after="20"/>
              <w:ind w:left="198" w:hanging="170"/>
            </w:pPr>
            <w:r>
              <w:rPr>
                <w:b w:val="0"/>
                <w:i w:val="0"/>
                <w:sz w:val="15"/>
              </w:rPr>
              <w:t>Describen un objeto presente en un suceso con la información del registro de observaciones.</w:t>
            </w:r>
          </w:p>
          <w:p>
            <w:pPr>
              <w:pStyle w:val="ListBullet"/>
              <w:spacing w:after="20"/>
              <w:ind w:left="198" w:hanging="170"/>
            </w:pPr>
            <w:r>
              <w:rPr>
                <w:b w:val="0"/>
                <w:i w:val="0"/>
                <w:sz w:val="15"/>
              </w:rPr>
              <w:t>Formulan una hipótesis para dar una explicación tentativa de un problema científico que debe validarse con evidencias.</w:t>
            </w:r>
          </w:p>
          <w:p>
            <w:pPr>
              <w:pStyle w:val="ListBullet"/>
              <w:spacing w:after="20"/>
              <w:ind w:left="198" w:hanging="170"/>
            </w:pPr>
            <w:r>
              <w:rPr>
                <w:b w:val="0"/>
                <w:i w:val="0"/>
                <w:sz w:val="15"/>
              </w:rPr>
              <w:t>Lideran una investigación científica en forma rigurosa y precisa para obtener resultados confiables.</w:t>
            </w:r>
          </w:p>
          <w:p>
            <w:pPr>
              <w:pStyle w:val="ListBullet"/>
              <w:spacing w:after="20"/>
              <w:ind w:left="198" w:hanging="170"/>
            </w:pPr>
            <w:r>
              <w:rPr>
                <w:b w:val="0"/>
                <w:i w:val="0"/>
                <w:sz w:val="15"/>
              </w:rPr>
              <w:t>Plantean conclusiones de una investigación basándose en las evidencias, resultados y relaciones halladas entre las variables y las inferencias e interpretaciones formuladas.</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F: </w:t>
            </w:r>
            <w:r>
              <w:rPr>
                <w:b w:val="0"/>
                <w:i w:val="0"/>
                <w:sz w:val="15"/>
              </w:rPr>
              <w:t>Demostrar valoración y cuidado por la salud y la integridad de las personas, evitando conductas de riesgo, considerando medidas de seguridad y tomando conciencia de las implicancias éticas de los avances científicos y tecnológicos.</w:t>
            </w:r>
          </w:p>
        </w:tc>
        <w:tc>
          <w:tcPr>
            <w:tcW w:type="dxa" w:w="1871"/>
          </w:tcPr>
          <w:p>
            <w:r/>
            <w:r>
              <w:rPr>
                <w:b/>
                <w:i w:val="0"/>
                <w:sz w:val="15"/>
              </w:rPr>
              <w:t xml:space="preserve">Formativa. </w:t>
            </w:r>
            <w:r>
              <w:rPr>
                <w:b/>
                <w:i/>
                <w:color w:val="595959"/>
                <w:sz w:val="15"/>
              </w:rPr>
              <w:t xml:space="preserve">Sugerencia — revisar: </w:t>
            </w:r>
            <w:r>
              <w:rPr>
                <w:b w:val="0"/>
                <w:i/>
                <w:color w:val="595959"/>
                <w:sz w:val="15"/>
              </w:rPr>
              <w:t>Experimentos con dinamómetros y planos inclinados con informe breve; diagramas de cuerpo libre revisados.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Los alumnos y las alumnas se organizan en equipos y determinan experimentalmente la constante elástica de un resorte, considerando el siguiente montaje: Resorte Peso(s) Realizan la actividad teniendo presentes los siguientes objetivos: 1. Hallar la constante elástica del resorte. (pág. 246)</w:t>
            </w:r>
          </w:p>
          <w:p>
            <w:pPr>
              <w:pStyle w:val="ListBullet"/>
              <w:spacing w:after="20"/>
              <w:ind w:left="198" w:hanging="170"/>
            </w:pPr>
            <w:r>
              <w:rPr>
                <w:b/>
                <w:i w:val="0"/>
                <w:sz w:val="15"/>
              </w:rPr>
              <w:t xml:space="preserve">Evaluación 2: </w:t>
            </w:r>
            <w:r>
              <w:rPr>
                <w:b w:val="0"/>
                <w:i w:val="0"/>
                <w:sz w:val="15"/>
              </w:rPr>
              <w:t>El o la docente plantea la siguiente situación: Un automóvil está detenido por la luz roja en un semáforo. (pág. 248)</w:t>
            </w:r>
          </w:p>
          <w:p>
            <w:pPr>
              <w:pStyle w:val="ListBullet"/>
              <w:spacing w:after="20"/>
              <w:ind w:left="198" w:hanging="170"/>
            </w:pPr>
            <w:r>
              <w:rPr>
                <w:b/>
                <w:i w:val="0"/>
                <w:sz w:val="15"/>
              </w:rPr>
              <w:t xml:space="preserve">Evaluación 3: </w:t>
            </w:r>
            <w:r>
              <w:rPr>
                <w:b w:val="0"/>
                <w:i w:val="0"/>
                <w:sz w:val="15"/>
              </w:rPr>
              <w:t>Las y los estudiantes realizan, en equipos, la siguiente actividad: Entre dos puntos fijos separados por 2 m o más, situados a la misma altura, tensan un alambre colocando previamente una bombilla para absorber líquidos de modo que esta pueda desplazarse sin dificultad por el alambre. (pág. 250)</w:t>
            </w:r>
          </w:p>
        </w:tc>
        <w:tc>
          <w:tcPr>
            <w:tcW w:type="dxa" w:w="1247"/>
          </w:tcPr>
          <w:p>
            <w:r/>
            <w:r>
              <w:rPr>
                <w:b/>
                <w:i/>
                <w:color w:val="595959"/>
                <w:sz w:val="15"/>
              </w:rPr>
              <w:t xml:space="preserve">Sugerencia — revisar: </w:t>
            </w:r>
            <w:r>
              <w:rPr>
                <w:b w:val="0"/>
                <w:i/>
                <w:color w:val="595959"/>
                <w:sz w:val="15"/>
              </w:rPr>
              <w:t>Dinamómetros, carros, planos inclinados; simulaciones de fuerzas.</w:t>
            </w:r>
          </w:p>
        </w:tc>
      </w:tr>
      <w:tr>
        <w:tc>
          <w:tcPr>
            <w:tcW w:type="dxa" w:w="1757"/>
          </w:tcPr>
          <w:p>
            <w:r/>
            <w:r>
              <w:rPr>
                <w:b/>
                <w:i w:val="0"/>
                <w:sz w:val="16"/>
              </w:rPr>
              <w:t>Unidad 3</w:t>
            </w:r>
          </w:p>
          <w:p>
            <w:r>
              <w:rPr>
                <w:b/>
                <w:i w:val="0"/>
                <w:sz w:val="16"/>
              </w:rPr>
              <w:t>Energía mecánica y cantidad de movimiento</w:t>
            </w:r>
          </w:p>
          <w:p>
            <w:r>
              <w:rPr>
                <w:b w:val="0"/>
                <w:i w:val="0"/>
                <w:sz w:val="15"/>
              </w:rPr>
              <w:t>En las unidades anteriores se ha descrito el movimiento de un objeto y los cambios que puede experimentar si actúa una fuerza sobre él.</w:t>
            </w:r>
          </w:p>
          <w:p>
            <w:r>
              <w:rPr>
                <w:b w:val="0"/>
                <w:i w:val="0"/>
                <w:color w:val="595959"/>
                <w:sz w:val="14"/>
              </w:rPr>
              <w:t>Programa, págs. 254–276</w:t>
            </w:r>
          </w:p>
        </w:tc>
        <w:tc>
          <w:tcPr>
            <w:tcW w:type="dxa" w:w="1134"/>
          </w:tcPr>
          <w:p>
            <w:r/>
            <w:r>
              <w:rPr>
                <w:b/>
                <w:i w:val="0"/>
                <w:sz w:val="15"/>
              </w:rPr>
              <w:t>Semestre 2</w:t>
            </w:r>
          </w:p>
          <w:p>
            <w:r>
              <w:rPr>
                <w:b w:val="0"/>
                <w:i w:val="0"/>
                <w:sz w:val="15"/>
              </w:rPr>
              <w:t>19 h pedagógicas</w:t>
            </w:r>
          </w:p>
          <w:p>
            <w:r>
              <w:rPr>
                <w:b w:val="0"/>
                <w:i w:val="0"/>
                <w:color w:val="595959"/>
                <w:sz w:val="15"/>
              </w:rPr>
              <w:t>Semanas 20 a 30</w:t>
            </w:r>
          </w:p>
        </w:tc>
        <w:tc>
          <w:tcPr>
            <w:tcW w:type="dxa" w:w="1134"/>
          </w:tcPr>
          <w:p>
            <w:r/>
            <w:r>
              <w:rPr>
                <w:b/>
                <w:i w:val="0"/>
                <w:sz w:val="15"/>
              </w:rPr>
              <w:t>OA 11, OA 12</w:t>
            </w:r>
          </w:p>
          <w:p>
            <w:r>
              <w:rPr>
                <w:b w:val="0"/>
                <w:i w:val="0"/>
                <w:color w:val="595959"/>
                <w:sz w:val="14"/>
              </w:rPr>
              <w:t>(texto en Anexo G)</w:t>
            </w:r>
          </w:p>
          <w:p>
            <w:r>
              <w:rPr>
                <w:b w:val="0"/>
                <w:i w:val="0"/>
                <w:sz w:val="14"/>
              </w:rPr>
              <w:t>Evaluados en los ejemplos del Programa:</w:t>
            </w:r>
          </w:p>
          <w:p>
            <w:r>
              <w:rPr>
                <w:b/>
                <w:i w:val="0"/>
                <w:sz w:val="15"/>
              </w:rPr>
              <w:t>OA 11, OA 12</w:t>
            </w:r>
          </w:p>
        </w:tc>
        <w:tc>
          <w:tcPr>
            <w:tcW w:type="dxa" w:w="2438"/>
          </w:tcPr>
          <w:p>
            <w:r/>
            <w:r>
              <w:rPr>
                <w:b/>
                <w:i w:val="0"/>
                <w:sz w:val="15"/>
              </w:rPr>
              <w:t>Habilidades</w:t>
            </w:r>
          </w:p>
          <w:p>
            <w:pPr>
              <w:pStyle w:val="ListBullet"/>
              <w:spacing w:after="20"/>
              <w:ind w:left="198" w:hanging="170"/>
            </w:pPr>
            <w:r>
              <w:rPr>
                <w:b w:val="0"/>
                <w:i w:val="0"/>
                <w:sz w:val="15"/>
              </w:rPr>
              <w:t>Observar y describir detalladamente las características de objetos, procesos y fenómenos del mundo natural y tecnológico, usando los sentidos. (OA a)</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Organizar datos cuantitativos y/o cualitativos con precisión, fundamentando su confiabilidad, y presentarlos en tablas, gráficos, modelos u otras representaciones, con la ayuda de las TIC. (OA h)</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Evaluar la investigación científica* con el fin de perfeccionarla, considerando:</w:t>
              <w:br/>
              <w:t>- La validez y confiabilidad de los resultados.</w:t>
              <w:br/>
              <w:t>- La replicabilidad de los procedimientos.</w:t>
              <w:br/>
              <w:t>- Las explicaciones, las predicciones y las conclusiones.</w:t>
              <w:br/>
              <w:t>- Las posibles aplicaciones tecnológicas.</w:t>
              <w:br/>
              <w:t>- El desempeño personal y grupal. (OA k)</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Trabajo mecánico.</w:t>
            </w:r>
          </w:p>
          <w:p>
            <w:pPr>
              <w:pStyle w:val="ListBullet"/>
              <w:spacing w:after="20"/>
              <w:ind w:left="198" w:hanging="170"/>
            </w:pPr>
            <w:r>
              <w:rPr>
                <w:b w:val="0"/>
                <w:i w:val="0"/>
                <w:sz w:val="15"/>
              </w:rPr>
              <w:t>Energía cinética.</w:t>
            </w:r>
          </w:p>
          <w:p>
            <w:pPr>
              <w:pStyle w:val="ListBullet"/>
              <w:spacing w:after="20"/>
              <w:ind w:left="198" w:hanging="170"/>
            </w:pPr>
            <w:r>
              <w:rPr>
                <w:b w:val="0"/>
                <w:i w:val="0"/>
                <w:sz w:val="15"/>
              </w:rPr>
              <w:t>Energía potencial gravitatoria y elástica.</w:t>
            </w:r>
          </w:p>
          <w:p>
            <w:pPr>
              <w:pStyle w:val="ListBullet"/>
              <w:spacing w:after="20"/>
              <w:ind w:left="198" w:hanging="170"/>
            </w:pPr>
            <w:r>
              <w:rPr>
                <w:b w:val="0"/>
                <w:i w:val="0"/>
                <w:sz w:val="15"/>
              </w:rPr>
              <w:t>Potencia mecánica.</w:t>
            </w:r>
          </w:p>
          <w:p>
            <w:pPr>
              <w:pStyle w:val="ListBullet"/>
              <w:spacing w:after="20"/>
              <w:ind w:left="198" w:hanging="170"/>
            </w:pPr>
            <w:r>
              <w:rPr>
                <w:b w:val="0"/>
                <w:i w:val="0"/>
                <w:sz w:val="15"/>
              </w:rPr>
              <w:t>Conservación de la energía mecánica.</w:t>
            </w:r>
          </w:p>
          <w:p>
            <w:pPr>
              <w:pStyle w:val="ListBullet"/>
              <w:spacing w:after="20"/>
              <w:ind w:left="198" w:hanging="170"/>
            </w:pPr>
            <w:r>
              <w:rPr>
                <w:b w:val="0"/>
                <w:i w:val="0"/>
                <w:sz w:val="15"/>
              </w:rPr>
              <w:t>Cantidad de movimiento.</w:t>
            </w:r>
          </w:p>
          <w:p>
            <w:pPr>
              <w:pStyle w:val="ListBullet"/>
              <w:spacing w:after="20"/>
              <w:ind w:left="198" w:hanging="170"/>
            </w:pPr>
            <w:r>
              <w:rPr>
                <w:b w:val="0"/>
                <w:i w:val="0"/>
                <w:sz w:val="15"/>
              </w:rPr>
              <w:t>Interacciones elásticas e inelásticas.</w:t>
            </w:r>
          </w:p>
          <w:p>
            <w:pPr>
              <w:pStyle w:val="ListBullet"/>
              <w:spacing w:after="20"/>
              <w:ind w:left="198" w:hanging="170"/>
            </w:pPr>
            <w:r>
              <w:rPr>
                <w:b w:val="0"/>
                <w:i w:val="0"/>
                <w:sz w:val="15"/>
              </w:rPr>
              <w:t>Impulso y variación de momentum.</w:t>
            </w:r>
          </w:p>
          <w:p>
            <w:pPr>
              <w:pStyle w:val="ListBullet"/>
              <w:spacing w:after="20"/>
              <w:ind w:left="198" w:hanging="170"/>
            </w:pPr>
            <w:r>
              <w:rPr>
                <w:b w:val="0"/>
                <w:i w:val="0"/>
                <w:sz w:val="15"/>
              </w:rPr>
              <w:t>Conservación de la cantidad de movimiento.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Energía cinética, energía potencial, energía potencial gravitatoria, energía potencial elástica, energía mecánica, trabajo mecánico, potencia mecánica, momentum, impulso, choque elástico, choque inelástico, colisión.</w:t>
            </w:r>
          </w:p>
        </w:tc>
        <w:tc>
          <w:tcPr>
            <w:tcW w:type="dxa" w:w="3175"/>
          </w:tcPr>
          <w:p>
            <w:r/>
            <w:r>
              <w:rPr>
                <w:b/>
                <w:i w:val="0"/>
                <w:sz w:val="15"/>
              </w:rPr>
              <w:t>Evaluación 1 (OA 11) · pág. 272</w:t>
            </w:r>
          </w:p>
          <w:p>
            <w:pPr>
              <w:pStyle w:val="ListBullet"/>
              <w:spacing w:after="20"/>
              <w:ind w:left="198" w:hanging="170"/>
            </w:pPr>
            <w:r>
              <w:rPr>
                <w:b w:val="0"/>
                <w:i w:val="0"/>
                <w:sz w:val="15"/>
              </w:rPr>
              <w:t>Determinan el trabajo mecánico realizado por una fuerza en situaciones unidimensionales diversas y cotidianas, como cuando se arrastra o levanta un objeto, o cuando este cae, entre otras.</w:t>
            </w:r>
          </w:p>
          <w:p>
            <w:pPr>
              <w:pStyle w:val="ListBullet"/>
              <w:spacing w:after="20"/>
              <w:ind w:left="198" w:hanging="170"/>
            </w:pPr>
            <w:r>
              <w:rPr>
                <w:b w:val="0"/>
                <w:i w:val="0"/>
                <w:sz w:val="15"/>
              </w:rPr>
              <w:t>Describen la energía mecánica de un objeto en términos de su energía cinética, potencial gravitatoria y potencial elástica, según corresponda.</w:t>
            </w:r>
          </w:p>
          <w:p>
            <w:pPr>
              <w:pStyle w:val="ListBullet"/>
              <w:spacing w:after="20"/>
              <w:ind w:left="198" w:hanging="170"/>
            </w:pPr>
            <w:r>
              <w:rPr>
                <w:b w:val="0"/>
                <w:i w:val="0"/>
                <w:sz w:val="15"/>
              </w:rPr>
              <w:t>Aplican el teorema del trabajo y la energía en situaciones unidimensionales simples y cotidianas.</w:t>
            </w:r>
          </w:p>
          <w:p>
            <w:r>
              <w:rPr>
                <w:b/>
                <w:i w:val="0"/>
                <w:sz w:val="15"/>
              </w:rPr>
              <w:t>Evaluación 2 (OA 12) · pág. 274</w:t>
            </w:r>
          </w:p>
          <w:p>
            <w:pPr>
              <w:pStyle w:val="ListBullet"/>
              <w:spacing w:after="20"/>
              <w:ind w:left="198" w:hanging="170"/>
            </w:pPr>
            <w:r>
              <w:rPr>
                <w:b w:val="0"/>
                <w:i w:val="0"/>
                <w:sz w:val="15"/>
              </w:rPr>
              <w:t>Evalúan la facilidad o dificultad que existe para cambiar el estado de movimiento de un objeto, de acuerdo a su cantidad de movimiento.</w:t>
            </w:r>
          </w:p>
          <w:p>
            <w:pPr>
              <w:pStyle w:val="ListBullet"/>
              <w:spacing w:after="20"/>
              <w:ind w:left="198" w:hanging="170"/>
            </w:pPr>
            <w:r>
              <w:rPr>
                <w:b w:val="0"/>
                <w:i w:val="0"/>
                <w:sz w:val="15"/>
              </w:rPr>
              <w:t>Describen el impulso que adquiere un objeto en términos de la variación de su cantidad de movimiento y lo relacionan con la segunda ley de Newton.</w:t>
            </w:r>
          </w:p>
          <w:p>
            <w:pPr>
              <w:pStyle w:val="ListBullet"/>
              <w:spacing w:after="20"/>
              <w:ind w:left="198" w:hanging="170"/>
            </w:pPr>
            <w:r>
              <w:rPr>
                <w:b w:val="0"/>
                <w:i w:val="0"/>
                <w:sz w:val="15"/>
              </w:rPr>
              <w:t>Aplican la ley de conservación de la cantidad de movimiento, en un sistema cerrado, en colisiones entre objetos que se mueven en la misma dirección.</w:t>
            </w:r>
          </w:p>
          <w:p>
            <w:pPr>
              <w:pStyle w:val="ListBullet"/>
              <w:spacing w:after="20"/>
              <w:ind w:left="198" w:hanging="170"/>
            </w:pPr>
            <w:r>
              <w:rPr>
                <w:b w:val="0"/>
                <w:i w:val="0"/>
                <w:sz w:val="15"/>
              </w:rPr>
              <w:t>Distinguen colisiones elásticas e inelásticas o plásticas entre dos objetos que se mueven en la misma dirección.</w:t>
            </w:r>
          </w:p>
          <w:p>
            <w:pPr>
              <w:pStyle w:val="ListBullet"/>
              <w:spacing w:after="20"/>
              <w:ind w:left="198" w:hanging="170"/>
            </w:pPr>
            <w:r>
              <w:rPr>
                <w:b w:val="0"/>
                <w:i w:val="0"/>
                <w:sz w:val="15"/>
              </w:rPr>
              <w:t>Explican que en una colisión elástica, entre dos objetos que se mueven en una misma dirección, se conserva la energía cinética.</w:t>
            </w:r>
          </w:p>
          <w:p>
            <w:pPr>
              <w:pStyle w:val="ListBullet"/>
              <w:spacing w:after="20"/>
              <w:ind w:left="198" w:hanging="170"/>
            </w:pPr>
            <w:r>
              <w:rPr>
                <w:b w:val="0"/>
                <w:i w:val="0"/>
                <w:sz w:val="15"/>
              </w:rPr>
              <w:t>Modelan resultados experimentales para apoyar explicaciones de las conclusiones de una investigación.</w:t>
            </w:r>
          </w:p>
          <w:p>
            <w:r>
              <w:rPr>
                <w:b/>
                <w:i w:val="0"/>
                <w:sz w:val="15"/>
              </w:rPr>
              <w:t>Evaluación 3 (OA 11, OA 12) · pág. 275</w:t>
            </w:r>
          </w:p>
          <w:p>
            <w:pPr>
              <w:pStyle w:val="ListBullet"/>
              <w:spacing w:after="20"/>
              <w:ind w:left="198" w:hanging="170"/>
            </w:pPr>
            <w:r>
              <w:rPr>
                <w:b w:val="0"/>
                <w:i w:val="0"/>
                <w:sz w:val="15"/>
              </w:rPr>
              <w:t>Describen la energía mecánica de un objeto en términos de su energía cinética, potencial gravitatoria y potencial elástica, según corresponda.</w:t>
            </w:r>
          </w:p>
          <w:p>
            <w:pPr>
              <w:pStyle w:val="ListBullet"/>
              <w:spacing w:after="20"/>
              <w:ind w:left="198" w:hanging="170"/>
            </w:pPr>
            <w:r>
              <w:rPr>
                <w:b w:val="0"/>
                <w:i w:val="0"/>
                <w:sz w:val="15"/>
              </w:rPr>
              <w:t>Aplican la ley de conservación de la cantidad de movimiento, en un sistema cerrado, en colisiones entre objetos que se mueven en la misma dirección.</w:t>
            </w:r>
          </w:p>
          <w:p>
            <w:pPr>
              <w:pStyle w:val="ListBullet"/>
              <w:spacing w:after="20"/>
              <w:ind w:left="198" w:hanging="170"/>
            </w:pPr>
            <w:r>
              <w:rPr>
                <w:b w:val="0"/>
                <w:i w:val="0"/>
                <w:sz w:val="15"/>
              </w:rPr>
              <w:t>Distinguen colisiones elásticas e inelásticas o plásticas entre dos objetos que se mueven en la misma dirección.</w:t>
            </w:r>
          </w:p>
          <w:p>
            <w:pPr>
              <w:pStyle w:val="ListBullet"/>
              <w:spacing w:after="20"/>
              <w:ind w:left="198" w:hanging="170"/>
            </w:pPr>
            <w:r>
              <w:rPr>
                <w:b w:val="0"/>
                <w:i w:val="0"/>
                <w:sz w:val="15"/>
              </w:rPr>
              <w:t>Explican que en una colisión elástica, entre dos objetos que se mueven en una misma dirección, se conserva la energía cinética.</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tc>
        <w:tc>
          <w:tcPr>
            <w:tcW w:type="dxa" w:w="1871"/>
          </w:tcPr>
          <w:p>
            <w:r/>
            <w:r>
              <w:rPr>
                <w:b/>
                <w:i w:val="0"/>
                <w:sz w:val="15"/>
              </w:rPr>
              <w:t xml:space="preserve">Formativa. </w:t>
            </w:r>
            <w:r>
              <w:rPr>
                <w:b/>
                <w:i/>
                <w:color w:val="595959"/>
                <w:sz w:val="15"/>
              </w:rPr>
              <w:t xml:space="preserve">Sugerencia — revisar: </w:t>
            </w:r>
            <w:r>
              <w:rPr>
                <w:b w:val="0"/>
                <w:i/>
                <w:color w:val="595959"/>
                <w:sz w:val="15"/>
              </w:rPr>
              <w:t>Experiencias de conservación de la energía y choques con pauta; resolución de problemas en parejas.</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Cada estudiante lee la siguiente situación y realizado lo socitado: En un aeropuerto, se suben por una banda transportadora maletas de 20 kg hasta la bodega de un avión que está a 4 m de altura respecto del suelo, tardando cada una de ellas 8 s en subir. (pág. 272)</w:t>
            </w:r>
          </w:p>
          <w:p>
            <w:pPr>
              <w:pStyle w:val="ListBullet"/>
              <w:spacing w:after="20"/>
              <w:ind w:left="198" w:hanging="170"/>
            </w:pPr>
            <w:r>
              <w:rPr>
                <w:b/>
                <w:i w:val="0"/>
                <w:sz w:val="15"/>
              </w:rPr>
              <w:t xml:space="preserve">Evaluación 2: </w:t>
            </w:r>
            <w:r>
              <w:rPr>
                <w:b w:val="0"/>
                <w:i w:val="0"/>
                <w:sz w:val="15"/>
              </w:rPr>
              <w:t>Cada estudiante elabora un mapa conceptual de tres niveles jerárquicos, como mínimo, que presente los conceptos y las relaciones que se trataron en la presente unidad considerando al menos los siguientes: - Momentum de un objeto. (pág. 274)</w:t>
            </w:r>
          </w:p>
          <w:p>
            <w:pPr>
              <w:pStyle w:val="ListBullet"/>
              <w:spacing w:after="20"/>
              <w:ind w:left="198" w:hanging="170"/>
            </w:pPr>
            <w:r>
              <w:rPr>
                <w:b/>
                <w:i w:val="0"/>
                <w:sz w:val="15"/>
              </w:rPr>
              <w:t xml:space="preserve">Evaluación 3: </w:t>
            </w:r>
            <w:r>
              <w:rPr>
                <w:b w:val="0"/>
                <w:i w:val="0"/>
                <w:sz w:val="15"/>
              </w:rPr>
              <w:t>Cada estudiante lee la siguiente situación y responde las preguntas formuladas: Dos carros, P y Q, de diferentes masas están unidos por un resorte que está comprimido, como se muestra en la figura siguiente. (pág. 275)</w:t>
            </w:r>
          </w:p>
        </w:tc>
        <w:tc>
          <w:tcPr>
            <w:tcW w:type="dxa" w:w="1247"/>
          </w:tcPr>
          <w:p>
            <w:r/>
            <w:r>
              <w:rPr>
                <w:b/>
                <w:i/>
                <w:color w:val="595959"/>
                <w:sz w:val="15"/>
              </w:rPr>
              <w:t xml:space="preserve">Sugerencia — revisar: </w:t>
            </w:r>
            <w:r>
              <w:rPr>
                <w:b w:val="0"/>
                <w:i/>
                <w:color w:val="595959"/>
                <w:sz w:val="15"/>
              </w:rPr>
              <w:t>Péndulos, rampas, carros; videos de colisiones; ejemplos de centrales hidroeléctricas del país.</w:t>
            </w:r>
          </w:p>
        </w:tc>
      </w:tr>
      <w:tr>
        <w:tc>
          <w:tcPr>
            <w:tcW w:type="dxa" w:w="1757"/>
          </w:tcPr>
          <w:p>
            <w:r/>
            <w:r>
              <w:rPr>
                <w:b/>
                <w:i w:val="0"/>
                <w:sz w:val="16"/>
              </w:rPr>
              <w:t>Unidad 4</w:t>
            </w:r>
          </w:p>
          <w:p>
            <w:r>
              <w:rPr>
                <w:b/>
                <w:i w:val="0"/>
                <w:sz w:val="16"/>
              </w:rPr>
              <w:t>El universo</w:t>
            </w:r>
          </w:p>
          <w:p>
            <w:r>
              <w:rPr>
                <w:b w:val="0"/>
                <w:i w:val="0"/>
                <w:sz w:val="15"/>
              </w:rPr>
              <w:t>En esta unidad se pretende que las y los estudiantes conozcan aspectos importantes del Universo, como su origen, forma y dinámica, incluyendo lo referido a objetos tecnológicos que se han enviado al espacio.</w:t>
            </w:r>
          </w:p>
          <w:p>
            <w:r>
              <w:rPr>
                <w:b w:val="0"/>
                <w:i w:val="0"/>
                <w:color w:val="595959"/>
                <w:sz w:val="14"/>
              </w:rPr>
              <w:t>Programa, págs. 277–297</w:t>
            </w:r>
          </w:p>
        </w:tc>
        <w:tc>
          <w:tcPr>
            <w:tcW w:type="dxa" w:w="1134"/>
          </w:tcPr>
          <w:p>
            <w:r/>
            <w:r>
              <w:rPr>
                <w:b/>
                <w:i w:val="0"/>
                <w:sz w:val="15"/>
              </w:rPr>
              <w:t>Semestre 2</w:t>
            </w:r>
          </w:p>
          <w:p>
            <w:r>
              <w:rPr>
                <w:b w:val="0"/>
                <w:i w:val="0"/>
                <w:sz w:val="15"/>
              </w:rPr>
              <w:t>14 h pedagógicas</w:t>
            </w:r>
          </w:p>
          <w:p>
            <w:r>
              <w:rPr>
                <w:b w:val="0"/>
                <w:i w:val="0"/>
                <w:color w:val="595959"/>
                <w:sz w:val="15"/>
              </w:rPr>
              <w:t>Semanas 31 a 38</w:t>
            </w:r>
          </w:p>
        </w:tc>
        <w:tc>
          <w:tcPr>
            <w:tcW w:type="dxa" w:w="1134"/>
          </w:tcPr>
          <w:p>
            <w:r/>
            <w:r>
              <w:rPr>
                <w:b/>
                <w:i w:val="0"/>
                <w:sz w:val="15"/>
              </w:rPr>
              <w:t>OA 13, OA 14</w:t>
            </w:r>
          </w:p>
          <w:p>
            <w:r>
              <w:rPr>
                <w:b w:val="0"/>
                <w:i w:val="0"/>
                <w:color w:val="595959"/>
                <w:sz w:val="14"/>
              </w:rPr>
              <w:t>(texto en Anexo G)</w:t>
            </w:r>
          </w:p>
          <w:p>
            <w:r>
              <w:rPr>
                <w:b w:val="0"/>
                <w:i w:val="0"/>
                <w:sz w:val="14"/>
              </w:rPr>
              <w:t>Evaluados en los ejemplos del Programa:</w:t>
            </w:r>
          </w:p>
          <w:p>
            <w:r>
              <w:rPr>
                <w:b/>
                <w:i w:val="0"/>
                <w:sz w:val="15"/>
              </w:rPr>
              <w:t>OA 13, OA 14</w:t>
            </w:r>
          </w:p>
        </w:tc>
        <w:tc>
          <w:tcPr>
            <w:tcW w:type="dxa" w:w="2438"/>
          </w:tcPr>
          <w:p>
            <w:r/>
            <w:r>
              <w:rPr>
                <w:b/>
                <w:i w:val="0"/>
                <w:sz w:val="15"/>
              </w:rPr>
              <w:t>Habilidades</w:t>
            </w:r>
          </w:p>
          <w:p>
            <w:pPr>
              <w:pStyle w:val="ListBullet"/>
              <w:spacing w:after="20"/>
              <w:ind w:left="198" w:hanging="170"/>
            </w:pPr>
            <w:r>
              <w:rPr>
                <w:b w:val="0"/>
                <w:i w:val="0"/>
                <w:sz w:val="15"/>
              </w:rPr>
              <w:t>Formular preguntas y/o problemas, a partir de conocimiento científico, que puedan ser resueltos mediante una investigación científica*. (OA b)</w:t>
            </w:r>
          </w:p>
          <w:p>
            <w:pPr>
              <w:pStyle w:val="ListBullet"/>
              <w:spacing w:after="20"/>
              <w:ind w:left="198" w:hanging="170"/>
            </w:pPr>
            <w:r>
              <w:rPr>
                <w:b w:val="0"/>
                <w:i w:val="0"/>
                <w:sz w:val="15"/>
              </w:rPr>
              <w:t>Formular y fundamentar hipótesis comprobables, basándose en conocimiento científico. (OA c)</w:t>
            </w:r>
          </w:p>
          <w:p>
            <w:pPr>
              <w:pStyle w:val="ListBullet"/>
              <w:spacing w:after="20"/>
              <w:ind w:left="198" w:hanging="170"/>
            </w:pPr>
            <w:r>
              <w:rPr>
                <w:b w:val="0"/>
                <w:i w:val="0"/>
                <w:sz w:val="15"/>
              </w:rPr>
              <w:t>Planificar diversos diseños de investigaciones experimentales que den respuesta a una pregunta y/o problema sobre la base de diversas fuentes de información científica, considerando:</w:t>
              <w:br/>
              <w:t>- El uso adecuado de instrumentos y materiales para asegurar la obtención de datos confiables.</w:t>
              <w:br/>
              <w:t>- La manipulación de variables y sus relaciones.</w:t>
              <w:br/>
              <w:t>- La explicación clara de procedimientos posibles de replicar. (OA d)</w:t>
            </w:r>
          </w:p>
          <w:p>
            <w:pPr>
              <w:pStyle w:val="ListBullet"/>
              <w:spacing w:after="20"/>
              <w:ind w:left="198" w:hanging="170"/>
            </w:pPr>
            <w:r>
              <w:rPr>
                <w:b w:val="0"/>
                <w:i w:val="0"/>
                <w:sz w:val="15"/>
              </w:rPr>
              <w:t>Planificar una investigación no experimental y/o documental que considere diversas fuentes de información para responder a preguntas científicas o para constituir el marco teórico de la investigación experimental. (OA e)</w:t>
            </w:r>
          </w:p>
          <w:p>
            <w:pPr>
              <w:pStyle w:val="ListBullet"/>
              <w:spacing w:after="20"/>
              <w:ind w:left="198" w:hanging="170"/>
            </w:pPr>
            <w:r>
              <w:rPr>
                <w:b w:val="0"/>
                <w:i w:val="0"/>
                <w:sz w:val="15"/>
              </w:rPr>
              <w:t>Conducir rigurosamente investigaciones científicas para obtener evidencias precisas y confiables con el apoyo de las TIC. (OA f)</w:t>
            </w:r>
          </w:p>
          <w:p>
            <w:pPr>
              <w:pStyle w:val="ListBullet"/>
              <w:spacing w:after="20"/>
              <w:ind w:left="198" w:hanging="170"/>
            </w:pPr>
            <w:r>
              <w:rPr>
                <w:b w:val="0"/>
                <w:i w:val="0"/>
                <w:sz w:val="15"/>
              </w:rPr>
              <w:t>Organizar el trabajo colaborativo, asignando responsabilidades, comunicándose en forma efectiva y siguiendo normas de seguridad. (OA g)</w:t>
            </w:r>
          </w:p>
          <w:p>
            <w:pPr>
              <w:pStyle w:val="ListBullet"/>
              <w:spacing w:after="20"/>
              <w:ind w:left="198" w:hanging="170"/>
            </w:pPr>
            <w:r>
              <w:rPr>
                <w:b w:val="0"/>
                <w:i w:val="0"/>
                <w:sz w:val="15"/>
              </w:rPr>
              <w:t>Crear, seleccionar, usar y ajustar modelos para describir mecanismos y para predecir y apoyar explicaciones sobre las relaciones entre las partes de un sistema. (OA i)</w:t>
            </w:r>
          </w:p>
          <w:p>
            <w:pPr>
              <w:pStyle w:val="ListBullet"/>
              <w:spacing w:after="20"/>
              <w:ind w:left="198" w:hanging="170"/>
            </w:pPr>
            <w:r>
              <w:rPr>
                <w:b w:val="0"/>
                <w:i w:val="0"/>
                <w:sz w:val="15"/>
              </w:rPr>
              <w:t>Analizar y explicar los resultados de una investigación científica*, para plantear inferencias y conclusiones:</w:t>
              <w:br/>
              <w:t>- Comparando las relaciones, tendencias y patrones de las variables.</w:t>
              <w:br/>
              <w:t>- Usando expresiones y operaciones matemáticas cuando sea pertinente (por ejemplo: potencias, razones, funciones, notación científica, medidas de tendencia central, cambio porcentual).</w:t>
              <w:br/>
              <w:t>- Utilizando vocabulario disciplinar pertinente. (OA j)</w:t>
            </w:r>
          </w:p>
          <w:p>
            <w:pPr>
              <w:pStyle w:val="ListBullet"/>
              <w:spacing w:after="20"/>
              <w:ind w:left="198" w:hanging="170"/>
            </w:pPr>
            <w:r>
              <w:rPr>
                <w:b w:val="0"/>
                <w:i w:val="0"/>
                <w:sz w:val="15"/>
              </w:rPr>
              <w:t>Explicar y argumentar con evidencias provenientes de investigaciones científicas*, en forma oral y escrita, incluyendo tablas, gráficos, modelos y TIC. (OA l)</w:t>
            </w:r>
          </w:p>
          <w:p>
            <w:pPr>
              <w:pStyle w:val="ListBullet"/>
              <w:spacing w:after="20"/>
              <w:ind w:left="198" w:hanging="170"/>
            </w:pPr>
            <w:r>
              <w:rPr>
                <w:b w:val="0"/>
                <w:i w:val="0"/>
                <w:sz w:val="15"/>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 (OA m)</w:t>
            </w:r>
          </w:p>
        </w:tc>
        <w:tc>
          <w:tcPr>
            <w:tcW w:type="dxa" w:w="2438"/>
          </w:tcPr>
          <w:p>
            <w:r/>
            <w:r>
              <w:rPr>
                <w:b/>
                <w:i w:val="0"/>
                <w:sz w:val="15"/>
              </w:rPr>
              <w:t>Conocimientos</w:t>
            </w:r>
          </w:p>
          <w:p>
            <w:pPr>
              <w:pStyle w:val="ListBullet"/>
              <w:spacing w:after="20"/>
              <w:ind w:left="198" w:hanging="170"/>
            </w:pPr>
            <w:r>
              <w:rPr>
                <w:b w:val="0"/>
                <w:i w:val="0"/>
                <w:sz w:val="15"/>
              </w:rPr>
              <w:t>Modelo geocéntrico.</w:t>
            </w:r>
          </w:p>
          <w:p>
            <w:pPr>
              <w:pStyle w:val="ListBullet"/>
              <w:spacing w:after="20"/>
              <w:ind w:left="198" w:hanging="170"/>
            </w:pPr>
            <w:r>
              <w:rPr>
                <w:b w:val="0"/>
                <w:i w:val="0"/>
                <w:sz w:val="15"/>
              </w:rPr>
              <w:t>Modelo heliocéntrico.</w:t>
            </w:r>
          </w:p>
          <w:p>
            <w:pPr>
              <w:pStyle w:val="ListBullet"/>
              <w:spacing w:after="20"/>
              <w:ind w:left="198" w:hanging="170"/>
            </w:pPr>
            <w:r>
              <w:rPr>
                <w:b w:val="0"/>
                <w:i w:val="0"/>
                <w:sz w:val="15"/>
              </w:rPr>
              <w:t>Aportes de Galileo.</w:t>
            </w:r>
          </w:p>
          <w:p>
            <w:pPr>
              <w:pStyle w:val="ListBullet"/>
              <w:spacing w:after="20"/>
              <w:ind w:left="198" w:hanging="170"/>
            </w:pPr>
            <w:r>
              <w:rPr>
                <w:b w:val="0"/>
                <w:i w:val="0"/>
                <w:sz w:val="15"/>
              </w:rPr>
              <w:t>Modelo de Tycho Brahe.</w:t>
            </w:r>
          </w:p>
          <w:p>
            <w:pPr>
              <w:pStyle w:val="ListBullet"/>
              <w:spacing w:after="20"/>
              <w:ind w:left="198" w:hanging="170"/>
            </w:pPr>
            <w:r>
              <w:rPr>
                <w:b w:val="0"/>
                <w:i w:val="0"/>
                <w:sz w:val="15"/>
              </w:rPr>
              <w:t>Leyes de Kepler y de gravitación universal y su uso para realizar predicciones.</w:t>
            </w:r>
          </w:p>
          <w:p>
            <w:pPr>
              <w:pStyle w:val="ListBullet"/>
              <w:spacing w:after="20"/>
              <w:ind w:left="198" w:hanging="170"/>
            </w:pPr>
            <w:r>
              <w:rPr>
                <w:b w:val="0"/>
                <w:i w:val="0"/>
                <w:sz w:val="15"/>
              </w:rPr>
              <w:t>Las mareas.</w:t>
            </w:r>
          </w:p>
          <w:p>
            <w:pPr>
              <w:pStyle w:val="ListBullet"/>
              <w:spacing w:after="20"/>
              <w:ind w:left="198" w:hanging="170"/>
            </w:pPr>
            <w:r>
              <w:rPr>
                <w:b w:val="0"/>
                <w:i w:val="0"/>
                <w:sz w:val="15"/>
              </w:rPr>
              <w:t>Colapso gravitacional y formación de estructuras cósmicas, como planetas, estrellas, sistemas estelares, galaxias y otros.</w:t>
            </w:r>
          </w:p>
          <w:p>
            <w:pPr>
              <w:pStyle w:val="ListBullet"/>
              <w:spacing w:after="20"/>
              <w:ind w:left="198" w:hanging="170"/>
            </w:pPr>
            <w:r>
              <w:rPr>
                <w:b w:val="0"/>
                <w:i w:val="0"/>
                <w:sz w:val="15"/>
              </w:rPr>
              <w:t>Dinámica de estructuras cósmicas.</w:t>
            </w:r>
          </w:p>
          <w:p>
            <w:pPr>
              <w:pStyle w:val="ListBullet"/>
              <w:spacing w:after="20"/>
              <w:ind w:left="198" w:hanging="170"/>
            </w:pPr>
            <w:r>
              <w:rPr>
                <w:b w:val="0"/>
                <w:i w:val="0"/>
                <w:sz w:val="15"/>
              </w:rPr>
              <w:t>Características generales de la teoría del Big-Bang.</w:t>
            </w:r>
          </w:p>
          <w:p>
            <w:pPr>
              <w:pStyle w:val="ListBullet"/>
              <w:spacing w:after="20"/>
              <w:ind w:left="198" w:hanging="170"/>
            </w:pPr>
            <w:r>
              <w:rPr>
                <w:b w:val="0"/>
                <w:i w:val="0"/>
                <w:sz w:val="15"/>
              </w:rPr>
              <w:t>Navegación espacial e instalación de satélites artificiales, sondas y otros dispositivos. Nota: La cantidad de actividades que se sugieren para cada Objetivo de Aprendizaje no necesariamente está asociada a su importancia dentro del desarrollo de la unidad.</w:t>
            </w:r>
          </w:p>
          <w:p>
            <w:r>
              <w:rPr>
                <w:b/>
                <w:i w:val="0"/>
                <w:sz w:val="15"/>
              </w:rPr>
              <w:t>Palabras clave</w:t>
            </w:r>
          </w:p>
          <w:p>
            <w:pPr>
              <w:pStyle w:val="ListBullet"/>
              <w:spacing w:after="20"/>
              <w:ind w:left="198" w:hanging="170"/>
            </w:pPr>
            <w:r>
              <w:rPr>
                <w:b w:val="0"/>
                <w:i w:val="0"/>
                <w:sz w:val="15"/>
              </w:rPr>
              <w:t>Modelo geocéntrico, epiciclos, modelo heliocéntrico, Big-Bang, radiación de fondo, energía oscura, materia oscura, campo gravitacional, gravedad, mareas, pleamar, bajamar, colapso gravitacional.</w:t>
            </w:r>
          </w:p>
        </w:tc>
        <w:tc>
          <w:tcPr>
            <w:tcW w:type="dxa" w:w="3175"/>
          </w:tcPr>
          <w:p>
            <w:r/>
            <w:r>
              <w:rPr>
                <w:b/>
                <w:i w:val="0"/>
                <w:sz w:val="15"/>
              </w:rPr>
              <w:t>Evaluación 1 (OA 13) · pág. 292</w:t>
            </w:r>
          </w:p>
          <w:p>
            <w:pPr>
              <w:pStyle w:val="ListBullet"/>
              <w:spacing w:after="20"/>
              <w:ind w:left="198" w:hanging="170"/>
            </w:pPr>
            <w:r>
              <w:rPr>
                <w:b w:val="0"/>
                <w:i w:val="0"/>
                <w:sz w:val="15"/>
              </w:rPr>
              <w:t>Explican diversos modelos que han intentado describir el Universo desde la Antigüedad hasta inicios del siglo XX, como el geocéntrico y el heliocéntrico, patrocinados por Ptolomeo y Copérnico, respectivamente, entre otros.</w:t>
            </w:r>
          </w:p>
          <w:p>
            <w:pPr>
              <w:pStyle w:val="ListBullet"/>
              <w:spacing w:after="20"/>
              <w:ind w:left="198" w:hanging="170"/>
            </w:pPr>
            <w:r>
              <w:rPr>
                <w:b w:val="0"/>
                <w:i w:val="0"/>
                <w:sz w:val="15"/>
              </w:rPr>
              <w:t>Identifican virtudes y limitaciones de los modelos del Universo para explicar su dinámica.</w:t>
            </w:r>
          </w:p>
          <w:p>
            <w:pPr>
              <w:pStyle w:val="ListBullet"/>
              <w:spacing w:after="20"/>
              <w:ind w:left="198" w:hanging="170"/>
            </w:pPr>
            <w:r>
              <w:rPr>
                <w:b w:val="0"/>
                <w:i w:val="0"/>
                <w:sz w:val="15"/>
              </w:rPr>
              <w:t>Distinguen a científicos como Galileo, Brahe y Newton, entre otros, por sus aportes en la concepción de modelos del Universo.</w:t>
            </w:r>
          </w:p>
          <w:p>
            <w:pPr>
              <w:pStyle w:val="ListBullet"/>
              <w:spacing w:after="20"/>
              <w:ind w:left="198" w:hanging="170"/>
            </w:pPr>
            <w:r>
              <w:rPr>
                <w:b w:val="0"/>
                <w:i w:val="0"/>
                <w:sz w:val="15"/>
              </w:rPr>
              <w:t>Seleccionan los recursos comunicacionales más apropiados para ser utilizados según el público receptor al que vaya dirigida la información o explicación.</w:t>
            </w:r>
          </w:p>
          <w:p>
            <w:pPr>
              <w:pStyle w:val="ListBullet"/>
              <w:spacing w:after="20"/>
              <w:ind w:left="198" w:hanging="170"/>
            </w:pPr>
            <w:r>
              <w:rPr>
                <w:b w:val="0"/>
                <w:i w:val="0"/>
                <w:sz w:val="15"/>
              </w:rPr>
              <w:t>Promueven la discusión de más de un diseño para realizar una investigación científica.</w:t>
            </w:r>
          </w:p>
          <w:p>
            <w:r>
              <w:rPr>
                <w:b/>
                <w:i w:val="0"/>
                <w:sz w:val="15"/>
              </w:rPr>
              <w:t>Evaluación 2 (OA 14) · pág. 293</w:t>
            </w:r>
          </w:p>
          <w:p>
            <w:pPr>
              <w:pStyle w:val="ListBullet"/>
              <w:spacing w:after="20"/>
              <w:ind w:left="198" w:hanging="170"/>
            </w:pPr>
            <w:r>
              <w:rPr>
                <w:b w:val="0"/>
                <w:i w:val="0"/>
                <w:sz w:val="15"/>
              </w:rPr>
              <w:t>Explican cualitativamente, con la ley de gravitación universal, el movimiento de traslación que ocurre en sistemas planetarios, satelitales, galácticos y de estructuras artificiales espaciales, entre otros.</w:t>
            </w:r>
          </w:p>
          <w:p>
            <w:pPr>
              <w:pStyle w:val="ListBullet"/>
              <w:spacing w:after="20"/>
              <w:ind w:left="198" w:hanging="170"/>
            </w:pPr>
            <w:r>
              <w:rPr>
                <w:b w:val="0"/>
                <w:i w:val="0"/>
                <w:sz w:val="15"/>
              </w:rPr>
              <w:t>Reconocen que dos o más observadores pueden tener distintas percepciones de un mismo fenómeno o problema científico.</w:t>
            </w:r>
          </w:p>
          <w:p>
            <w:pPr>
              <w:pStyle w:val="ListBullet"/>
              <w:spacing w:after="20"/>
              <w:ind w:left="198" w:hanging="170"/>
            </w:pPr>
            <w:r>
              <w:rPr>
                <w:b w:val="0"/>
                <w:i w:val="0"/>
                <w:sz w:val="15"/>
              </w:rPr>
              <w:t>Seleccionan los recursos comunicacionales más apropiados para ser utilizados según el público receptor al que vaya dirigida la información o explicación.</w:t>
            </w:r>
          </w:p>
          <w:p>
            <w:r>
              <w:rPr>
                <w:b/>
                <w:i w:val="0"/>
                <w:sz w:val="15"/>
              </w:rPr>
              <w:t>Evaluación 3 (OA 14) · pág. 294</w:t>
            </w:r>
          </w:p>
          <w:p>
            <w:pPr>
              <w:pStyle w:val="ListBullet"/>
              <w:spacing w:after="20"/>
              <w:ind w:left="198" w:hanging="170"/>
            </w:pPr>
            <w:r>
              <w:rPr>
                <w:b w:val="0"/>
                <w:i w:val="0"/>
                <w:sz w:val="15"/>
              </w:rPr>
              <w:t>Describen la formación de estructuras cósmicas, como planetas, estrellas, sistemas estelares y galaxias, entre otras, a partir del colapso gravitacional.</w:t>
            </w:r>
          </w:p>
          <w:p>
            <w:pPr>
              <w:pStyle w:val="ListBullet"/>
              <w:spacing w:after="20"/>
              <w:ind w:left="198" w:hanging="170"/>
            </w:pPr>
            <w:r>
              <w:rPr>
                <w:b w:val="0"/>
                <w:i w:val="0"/>
                <w:sz w:val="15"/>
              </w:rPr>
              <w:t>Elaboran un diseño de investigación científica no experimental que pueda ser replicado por otras personas.</w:t>
            </w:r>
          </w:p>
          <w:p>
            <w:r>
              <w:rPr>
                <w:b/>
                <w:i w:val="0"/>
                <w:sz w:val="15"/>
              </w:rPr>
              <w:t>Evaluación 4 (OA 14) · pág. 295</w:t>
            </w:r>
          </w:p>
          <w:p>
            <w:pPr>
              <w:pStyle w:val="ListBullet"/>
              <w:spacing w:after="20"/>
              <w:ind w:left="198" w:hanging="170"/>
            </w:pPr>
            <w:r>
              <w:rPr>
                <w:b w:val="0"/>
                <w:i w:val="0"/>
                <w:sz w:val="15"/>
              </w:rPr>
              <w:t>Explican cualitativamente, con las leyes de Kepler, las características del movimiento de los cuerpos del sistema solar.</w:t>
            </w:r>
          </w:p>
          <w:p>
            <w:pPr>
              <w:pStyle w:val="ListBullet"/>
              <w:spacing w:after="20"/>
              <w:ind w:left="198" w:hanging="170"/>
            </w:pPr>
            <w:r>
              <w:rPr>
                <w:b w:val="0"/>
                <w:i w:val="0"/>
                <w:sz w:val="15"/>
              </w:rPr>
              <w:t>Explican cualitativamente el fenómeno de las mareas con la ley de gravitación universal.</w:t>
            </w:r>
          </w:p>
          <w:p>
            <w:pPr>
              <w:pStyle w:val="ListBullet"/>
              <w:spacing w:after="20"/>
              <w:ind w:left="198" w:hanging="170"/>
            </w:pPr>
            <w:r>
              <w:rPr>
                <w:b w:val="0"/>
                <w:i w:val="0"/>
                <w:sz w:val="15"/>
              </w:rPr>
              <w:t>Explican cualitativamente, con la ley de gravitación universal, el movimiento de traslación que ocurre en sistemas planetarios, satelitales, galácticos y de estructuras artificiales espaciales, entre otros.</w:t>
            </w:r>
          </w:p>
          <w:p>
            <w:pPr>
              <w:pStyle w:val="ListBullet"/>
              <w:spacing w:after="20"/>
              <w:ind w:left="198" w:hanging="170"/>
            </w:pPr>
            <w:r>
              <w:rPr>
                <w:b w:val="0"/>
                <w:i w:val="0"/>
                <w:sz w:val="15"/>
              </w:rPr>
              <w:t>Describen la formación de estructuras cósmicas, como planetas, estrellas, sistemas estelares y galaxias, entre otras, a partir del colapso gravitacional.</w:t>
            </w:r>
          </w:p>
          <w:p>
            <w:pPr>
              <w:pStyle w:val="ListBullet"/>
              <w:spacing w:after="20"/>
              <w:ind w:left="198" w:hanging="170"/>
            </w:pPr>
            <w:r>
              <w:rPr>
                <w:b w:val="0"/>
                <w:i w:val="0"/>
                <w:sz w:val="15"/>
              </w:rPr>
              <w:t>Explican las ventajas y desventajas de los campos gravitacionales en la navegación espacial y en la instalación de sondas y satélites, entre otros dispositivos tecnológicos.</w:t>
            </w:r>
          </w:p>
          <w:p>
            <w:pPr>
              <w:pStyle w:val="ListBullet"/>
              <w:spacing w:after="20"/>
              <w:ind w:left="198" w:hanging="170"/>
            </w:pPr>
            <w:r>
              <w:rPr>
                <w:b w:val="0"/>
                <w:i w:val="0"/>
                <w:sz w:val="15"/>
              </w:rPr>
              <w:t>Elaboran un diseño de investigación científica no experimental que pueda ser replicado por otras personas.</w:t>
            </w:r>
          </w:p>
        </w:tc>
        <w:tc>
          <w:tcPr>
            <w:tcW w:type="dxa" w:w="1474"/>
          </w:tcPr>
          <w:p>
            <w:r/>
            <w:r>
              <w:rPr>
                <w:b/>
                <w:i w:val="0"/>
                <w:sz w:val="15"/>
              </w:rPr>
              <w:t xml:space="preserve">OA A: </w:t>
            </w:r>
            <w:r>
              <w:rPr>
                <w:b w:val="0"/>
                <w:i w:val="0"/>
                <w:sz w:val="15"/>
              </w:rPr>
              <w:t>Mostrar curiosidad, creatividad e interés por conocer y comprender los fenómenos del entorno natural y tecnológico, disfrutando del crecimiento intelectual que genera el conocimiento científico y valorando su importancia para el desarrollo de la sociedad.</w:t>
            </w:r>
          </w:p>
          <w:p>
            <w:r>
              <w:rPr>
                <w:b/>
                <w:i w:val="0"/>
                <w:sz w:val="15"/>
              </w:rPr>
              <w:t xml:space="preserve">OA H: </w:t>
            </w:r>
            <w:r>
              <w:rPr>
                <w:b w:val="0"/>
                <w:i w:val="0"/>
                <w:sz w:val="15"/>
              </w:rPr>
              <w:t>Demostrar valoración e interés por los aportes de hombres y mujeres al conocimiento científico y reconocer que desde siempre los seres humanos han intentado comprender el mundo.</w:t>
            </w:r>
          </w:p>
          <w:p>
            <w:r>
              <w:rPr>
                <w:b/>
                <w:i w:val="0"/>
                <w:sz w:val="15"/>
              </w:rPr>
              <w:t xml:space="preserve">OA D: </w:t>
            </w:r>
            <w:r>
              <w:rPr>
                <w:b w:val="0"/>
                <w:i w:val="0"/>
                <w:sz w:val="15"/>
              </w:rPr>
              <w:t>Manifestar una actitud de pensamiento crítico, buscando rigurosidad y replicabilidad de las evidencias para sustentar las respuestas, las soluciones o las hipótesis.</w:t>
            </w:r>
          </w:p>
          <w:p>
            <w:r>
              <w:rPr>
                <w:b/>
                <w:i w:val="0"/>
                <w:sz w:val="15"/>
              </w:rPr>
              <w:t xml:space="preserve">OA B: </w:t>
            </w:r>
            <w:r>
              <w:rPr>
                <w:b w:val="0"/>
                <w:i w:val="0"/>
                <w:sz w:val="15"/>
              </w:rPr>
              <w:t>Esforzarse y perseverar en el trabajo personal entendiendo que los logros se obtienen solo después de un trabajo riguroso, y que los datos empíricamente confiables se obtienen si se trabaja con precisión y orden.</w:t>
            </w:r>
          </w:p>
          <w:p>
            <w:r>
              <w:rPr>
                <w:b/>
                <w:i w:val="0"/>
                <w:sz w:val="15"/>
              </w:rPr>
              <w:t xml:space="preserve">OA C: </w:t>
            </w:r>
            <w:r>
              <w:rPr>
                <w:b w:val="0"/>
                <w:i w:val="0"/>
                <w:sz w:val="15"/>
              </w:rPr>
              <w:t>Trabajar responsablemente en forma proactiva y colaborativa, considerando y respetando los variados aportes del equipo y manifestando disposición a entender los argumentos de otros en las soluciones a problemas científicos.</w:t>
            </w:r>
          </w:p>
          <w:p>
            <w:r>
              <w:rPr>
                <w:b/>
                <w:i w:val="0"/>
                <w:sz w:val="15"/>
              </w:rPr>
              <w:t xml:space="preserve">OA E: </w:t>
            </w:r>
            <w:r>
              <w:rPr>
                <w:b w:val="0"/>
                <w:i w:val="0"/>
                <w:sz w:val="15"/>
              </w:rPr>
              <w:t>Usar de manera responsable y efectiva las tecnologías de la comunicación para favorecer las explicaciones científicas y el procesamiento de evidencias, dando crédito al trabajo de otros y respetando la propiedad y la privacidad de las personas.</w:t>
            </w:r>
          </w:p>
          <w:p>
            <w:r>
              <w:rPr>
                <w:b/>
                <w:i w:val="0"/>
                <w:sz w:val="15"/>
              </w:rPr>
              <w:t xml:space="preserve">OA G: </w:t>
            </w:r>
            <w:r>
              <w:rPr>
                <w:b w:val="0"/>
                <w:i w:val="0"/>
                <w:sz w:val="15"/>
              </w:rPr>
              <w:t>Reconocer la importancia del entorno natural y sus recursos, y manifestar conductas de cuidado y uso eficiente de los recursos naturales y energéticos en favor del desarrollo sustentable y la protección del ambiente.</w:t>
            </w:r>
          </w:p>
        </w:tc>
        <w:tc>
          <w:tcPr>
            <w:tcW w:type="dxa" w:w="1871"/>
          </w:tcPr>
          <w:p>
            <w:r/>
            <w:r>
              <w:rPr>
                <w:b/>
                <w:i w:val="0"/>
                <w:sz w:val="15"/>
              </w:rPr>
              <w:t xml:space="preserve">Formativa. </w:t>
            </w:r>
            <w:r>
              <w:rPr>
                <w:b/>
                <w:i/>
                <w:color w:val="595959"/>
                <w:sz w:val="15"/>
              </w:rPr>
              <w:t xml:space="preserve">Sugerencia — revisar: </w:t>
            </w:r>
            <w:r>
              <w:rPr>
                <w:b w:val="0"/>
                <w:i/>
                <w:color w:val="595959"/>
                <w:sz w:val="15"/>
              </w:rPr>
              <w:t>Construcción de líneas de tiempo de modelos del universo; preguntas de cierre sobre las leyes de Kepler.</w:t>
            </w:r>
          </w:p>
          <w:p>
            <w:r>
              <w:rPr>
                <w:b/>
                <w:i w:val="0"/>
                <w:sz w:val="15"/>
              </w:rPr>
              <w:t xml:space="preserve">Sumativa. </w:t>
            </w:r>
            <w:r>
              <w:rPr>
                <w:b/>
                <w:i/>
                <w:color w:val="595959"/>
                <w:sz w:val="15"/>
              </w:rPr>
              <w:t xml:space="preserve">Sugerencia — revisar: </w:t>
            </w:r>
            <w:r>
              <w:rPr>
                <w:b w:val="0"/>
                <w:i/>
                <w:color w:val="595959"/>
                <w:sz w:val="15"/>
              </w:rPr>
              <w:t>basarla en los Ejemplos de evaluación del Programa:</w:t>
            </w:r>
          </w:p>
          <w:p>
            <w:pPr>
              <w:pStyle w:val="ListBullet"/>
              <w:spacing w:after="20"/>
              <w:ind w:left="198" w:hanging="170"/>
            </w:pPr>
            <w:r>
              <w:rPr>
                <w:b/>
                <w:i w:val="0"/>
                <w:sz w:val="15"/>
              </w:rPr>
              <w:t xml:space="preserve">Evaluación 1: </w:t>
            </w:r>
            <w:r>
              <w:rPr>
                <w:b w:val="0"/>
                <w:i w:val="0"/>
                <w:sz w:val="15"/>
              </w:rPr>
              <w:t>En relación con la forma de concebir el Universo, cada estudiante explica los aspectos principales de: 1. La concepción geocéntrica. (pág. 292)</w:t>
            </w:r>
          </w:p>
          <w:p>
            <w:pPr>
              <w:pStyle w:val="ListBullet"/>
              <w:spacing w:after="20"/>
              <w:ind w:left="198" w:hanging="170"/>
            </w:pPr>
            <w:r>
              <w:rPr>
                <w:b/>
                <w:i w:val="0"/>
                <w:sz w:val="15"/>
              </w:rPr>
              <w:t xml:space="preserve">Evaluación 2: </w:t>
            </w:r>
            <w:r>
              <w:rPr>
                <w:b w:val="0"/>
                <w:i w:val="0"/>
                <w:sz w:val="15"/>
              </w:rPr>
              <w:t>Cada estudiante observa la siguiente figura que muestra la Luna en cuatro posiciones diferentes respecto a la Tierra y al Sol, y luego responde las preguntas formuladas. (pág. 293)</w:t>
            </w:r>
          </w:p>
          <w:p>
            <w:pPr>
              <w:pStyle w:val="ListBullet"/>
              <w:spacing w:after="20"/>
              <w:ind w:left="198" w:hanging="170"/>
            </w:pPr>
            <w:r>
              <w:rPr>
                <w:b/>
                <w:i w:val="0"/>
                <w:sz w:val="15"/>
              </w:rPr>
              <w:t xml:space="preserve">Evaluación 3: </w:t>
            </w:r>
            <w:r>
              <w:rPr>
                <w:b w:val="0"/>
                <w:i w:val="0"/>
                <w:sz w:val="15"/>
              </w:rPr>
              <w:t>Cada estudiante escribe un ensayo de no más de dos páginas, donde se refiere a las hipótesis más aceptadas por la comunidad científica para explicar: 1. La formación del sistema solar. (pág. 294)</w:t>
            </w:r>
          </w:p>
          <w:p>
            <w:pPr>
              <w:pStyle w:val="ListBullet"/>
              <w:spacing w:after="20"/>
              <w:ind w:left="198" w:hanging="170"/>
            </w:pPr>
            <w:r>
              <w:rPr>
                <w:b/>
                <w:i w:val="0"/>
                <w:sz w:val="15"/>
              </w:rPr>
              <w:t xml:space="preserve">Evaluación 4: </w:t>
            </w:r>
            <w:r>
              <w:rPr>
                <w:b w:val="0"/>
                <w:i w:val="0"/>
                <w:sz w:val="15"/>
              </w:rPr>
              <w:t>Cada estudiante construye una V de Gowin para orientar el diseño y posterior ejecución de una investigación científica, considerando la siguiente información: - Se estudiará la ley de gravitación universal de Newton. (pág. 295)</w:t>
            </w:r>
          </w:p>
        </w:tc>
        <w:tc>
          <w:tcPr>
            <w:tcW w:type="dxa" w:w="1247"/>
          </w:tcPr>
          <w:p>
            <w:r/>
            <w:r>
              <w:rPr>
                <w:b/>
                <w:i/>
                <w:color w:val="595959"/>
                <w:sz w:val="15"/>
              </w:rPr>
              <w:t xml:space="preserve">Sugerencia — revisar: </w:t>
            </w:r>
            <w:r>
              <w:rPr>
                <w:b w:val="0"/>
                <w:i/>
                <w:color w:val="595959"/>
                <w:sz w:val="15"/>
              </w:rPr>
              <w:t>Simuladores astronómicos; información de observatorios chilenos; cielos del desierto de Atacama.</w:t>
            </w:r>
          </w:p>
        </w:tc>
      </w:tr>
    </w:tbl>
    <w:p>
      <w:pPr>
        <w:pStyle w:val="Heading1"/>
      </w:pPr>
      <w:r>
        <w:t>E. Estrategias transversales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3402"/>
        <w:gridCol w:w="13266"/>
      </w:tblGrid>
      <w:tr>
        <w:tc>
          <w:tcPr>
            <w:tcW w:type="dxa" w:w="3402"/>
          </w:tcPr>
          <w:p>
            <w:r>
              <w:rPr>
                <w:b/>
                <w:i w:val="0"/>
                <w:sz w:val="18"/>
              </w:rPr>
              <w:t>DUA (Decreto 83/2015)</w:t>
            </w:r>
          </w:p>
        </w:tc>
        <w:tc>
          <w:tcPr>
            <w:tcW w:type="dxa" w:w="13266"/>
          </w:tcPr>
          <w:p>
            <w:r>
              <w:rPr>
                <w:b/>
                <w:i w:val="0"/>
                <w:sz w:val="18"/>
              </w:rPr>
              <w:t xml:space="preserve">Múltiples formas de representación: </w:t>
            </w:r>
            <w:r>
              <w:rPr>
                <w:b/>
                <w:i/>
                <w:color w:val="595959"/>
                <w:sz w:val="18"/>
              </w:rPr>
              <w:t xml:space="preserve">Sugerencia — revisar: </w:t>
            </w:r>
            <w:r>
              <w:rPr>
                <w:b w:val="0"/>
                <w:i/>
                <w:color w:val="595959"/>
                <w:sz w:val="18"/>
              </w:rPr>
              <w:t>Usar modelos, simulaciones, videos, experimentos demostrativos y lecturas con apoyo gráfico.</w:t>
            </w:r>
          </w:p>
          <w:p>
            <w:r>
              <w:rPr>
                <w:b/>
                <w:i w:val="0"/>
                <w:sz w:val="18"/>
              </w:rPr>
              <w:t xml:space="preserve">Múltiples formas de acción y expresión: </w:t>
            </w:r>
            <w:r>
              <w:rPr>
                <w:b/>
                <w:i/>
                <w:color w:val="595959"/>
                <w:sz w:val="18"/>
              </w:rPr>
              <w:t xml:space="preserve">Sugerencia — revisar: </w:t>
            </w:r>
            <w:r>
              <w:rPr>
                <w:b w:val="0"/>
                <w:i/>
                <w:color w:val="595959"/>
                <w:sz w:val="18"/>
              </w:rPr>
              <w:t>Permitir comunicar resultados en informes, presentaciones orales, esquemas, maquetas o videos.</w:t>
            </w:r>
          </w:p>
          <w:p>
            <w:r>
              <w:rPr>
                <w:b/>
                <w:i w:val="0"/>
                <w:sz w:val="18"/>
              </w:rPr>
              <w:t xml:space="preserve">Múltiples formas de implicación: </w:t>
            </w:r>
            <w:r>
              <w:rPr>
                <w:b/>
                <w:i/>
                <w:color w:val="595959"/>
                <w:sz w:val="18"/>
              </w:rPr>
              <w:t xml:space="preserve">Sugerencia — revisar: </w:t>
            </w:r>
            <w:r>
              <w:rPr>
                <w:b w:val="0"/>
                <w:i/>
                <w:color w:val="595959"/>
                <w:sz w:val="18"/>
              </w:rPr>
              <w:t>Plantear preguntas de investigación vinculadas al entorno local y trabajo colaborativo con roles.</w:t>
            </w:r>
          </w:p>
        </w:tc>
      </w:tr>
      <w:tr>
        <w:tc>
          <w:tcPr>
            <w:tcW w:type="dxa" w:w="3402"/>
          </w:tcPr>
          <w:p>
            <w:r>
              <w:rPr>
                <w:b/>
                <w:i w:val="0"/>
                <w:sz w:val="18"/>
              </w:rPr>
              <w:t>Atención a NEE / PIE</w:t>
            </w:r>
          </w:p>
        </w:tc>
        <w:tc>
          <w:tcPr>
            <w:tcW w:type="dxa" w:w="13266"/>
          </w:tcPr>
          <w:p>
            <w:r>
              <w:rPr>
                <w:b w:val="0"/>
                <w:i/>
                <w:color w:val="8C8C8C"/>
                <w:sz w:val="18"/>
              </w:rPr>
              <w:t>Completar por el docente</w:t>
            </w:r>
          </w:p>
        </w:tc>
      </w:tr>
      <w:tr>
        <w:tc>
          <w:tcPr>
            <w:tcW w:type="dxa" w:w="3402"/>
          </w:tcPr>
          <w:p>
            <w:r>
              <w:rPr>
                <w:b/>
                <w:i w:val="0"/>
                <w:sz w:val="18"/>
              </w:rPr>
              <w:t>Enfoque socioemocional y convivencia</w:t>
            </w:r>
          </w:p>
        </w:tc>
        <w:tc>
          <w:tcPr>
            <w:tcW w:type="dxa" w:w="13266"/>
          </w:tcPr>
          <w:p>
            <w:r>
              <w:rPr>
                <w:b w:val="0"/>
                <w:i/>
                <w:color w:val="8C8C8C"/>
                <w:sz w:val="18"/>
              </w:rPr>
              <w:t>Completar por el docente</w:t>
            </w:r>
          </w:p>
        </w:tc>
      </w:tr>
      <w:tr>
        <w:tc>
          <w:tcPr>
            <w:tcW w:type="dxa" w:w="3402"/>
          </w:tcPr>
          <w:p>
            <w:r>
              <w:rPr>
                <w:b/>
                <w:i w:val="0"/>
                <w:sz w:val="18"/>
              </w:rPr>
              <w:t>Otros (OAT, habilidades del siglo XXI)</w:t>
            </w:r>
          </w:p>
        </w:tc>
        <w:tc>
          <w:tcPr>
            <w:tcW w:type="dxa" w:w="13266"/>
          </w:tcPr>
          <w:p>
            <w:r>
              <w:rPr>
                <w:b w:val="0"/>
                <w:i/>
                <w:color w:val="8C8C8C"/>
                <w:sz w:val="18"/>
              </w:rPr>
              <w:t>Completar por el docente</w:t>
            </w:r>
          </w:p>
        </w:tc>
      </w:tr>
    </w:tbl>
    <w:p>
      <w:pPr>
        <w:pStyle w:val="Heading1"/>
      </w:pPr>
      <w:r>
        <w:t>F. Observaciones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6668"/>
      </w:tblGrid>
      <w:tr>
        <w:trPr>
          <w:cantSplit/>
        </w:trPr>
        <w:tc>
          <w:tcPr>
            <w:tcW w:type="dxa" w:w="16668"/>
          </w:tcPr>
          <w:p>
            <w:r>
              <w:rPr>
                <w:b w:val="0"/>
                <w:i/>
                <w:color w:val="8C8C8C"/>
                <w:sz w:val="18"/>
              </w:rPr>
              <w:t>Completar por el docente</w:t>
            </w:r>
          </w:p>
          <w:p/>
          <w:p/>
          <w:p/>
        </w:tc>
      </w:tr>
    </w:tbl>
    <w:p>
      <w:r>
        <w:br w:type="page"/>
      </w:r>
    </w:p>
    <w:p>
      <w:pPr>
        <w:pStyle w:val="Heading1"/>
      </w:pPr>
      <w:r>
        <w:t>G. Anexo: Objetivos de Aprendizaje del año</w:t>
      </w:r>
    </w:p>
    <w:p>
      <w:pPr>
        <w:spacing w:after="80"/>
      </w:pPr>
      <w:r>
        <w:rPr>
          <w:b w:val="0"/>
          <w:i w:val="0"/>
          <w:color w:val="595959"/>
          <w:sz w:val="16"/>
        </w:rPr>
        <w:t>Texto literal de las Bases Curriculares (DS 614/2013 y DS 369/2015); las habilidades y actitudes, del Programa de Estudio. Entre paréntesis, la página en las Bases (B) y en el Programa de Estudio (P).</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1701"/>
        <w:gridCol w:w="14967"/>
      </w:tblGrid>
      <w:tr>
        <w:trPr>
          <w:tblHeader w:val="true"/>
        </w:trPr>
        <w:tc>
          <w:tcPr>
            <w:tcW w:type="dxa" w:w="1701"/>
          </w:tcPr>
          <w:p>
            <w:r/>
            <w:r>
              <w:rPr>
                <w:b/>
                <w:i w:val="0"/>
                <w:sz w:val="18"/>
              </w:rPr>
              <w:t>Código</w:t>
            </w:r>
          </w:p>
        </w:tc>
        <w:tc>
          <w:tcPr>
            <w:tcW w:type="dxa" w:w="14967"/>
          </w:tcPr>
          <w:p>
            <w:r/>
            <w:r>
              <w:rPr>
                <w:b/>
                <w:i w:val="0"/>
                <w:sz w:val="18"/>
              </w:rPr>
              <w:t>Objetivo de Aprendizaje</w:t>
            </w:r>
          </w:p>
        </w:tc>
      </w:tr>
      <w:tr>
        <w:tc>
          <w:tcPr>
            <w:tcW w:type="dxa" w:w="16668"/>
            <w:gridSpan w:val="2"/>
          </w:tcPr>
          <w:p>
            <w:r/>
            <w:r>
              <w:rPr>
                <w:b/>
                <w:i w:val="0"/>
                <w:sz w:val="18"/>
              </w:rPr>
              <w:t>FÍSICA</w:t>
            </w:r>
          </w:p>
        </w:tc>
      </w:tr>
      <w:tr>
        <w:trPr>
          <w:cantSplit/>
        </w:trPr>
        <w:tc>
          <w:tcPr>
            <w:tcW w:type="dxa" w:w="1701"/>
          </w:tcPr>
          <w:p>
            <w:r>
              <w:rPr>
                <w:b/>
                <w:i w:val="0"/>
                <w:sz w:val="18"/>
              </w:rPr>
              <w:t>OA 9</w:t>
            </w:r>
          </w:p>
          <w:p>
            <w:r>
              <w:rPr>
                <w:b w:val="0"/>
                <w:i w:val="0"/>
                <w:color w:val="595959"/>
                <w:sz w:val="14"/>
              </w:rPr>
              <w:t>(B 164 · P 66)</w:t>
            </w:r>
          </w:p>
        </w:tc>
        <w:tc>
          <w:tcPr>
            <w:tcW w:type="dxa" w:w="14967"/>
          </w:tcPr>
          <w:p>
            <w:r>
              <w:rPr>
                <w:b w:val="0"/>
                <w:i w:val="0"/>
                <w:sz w:val="18"/>
              </w:rPr>
              <w:t>Analizar, sobre la base de la experimentación, el movimiento rectilíneo uniforme y acelerado de un objeto respecto de un sistema de referencia espacio-temporal, considerando variables como la posición, la velocidad y la aceleración en situaciones cotidianas.</w:t>
            </w:r>
          </w:p>
        </w:tc>
      </w:tr>
      <w:tr>
        <w:trPr>
          <w:cantSplit/>
        </w:trPr>
        <w:tc>
          <w:tcPr>
            <w:tcW w:type="dxa" w:w="1701"/>
          </w:tcPr>
          <w:p>
            <w:r>
              <w:rPr>
                <w:b/>
                <w:i w:val="0"/>
                <w:sz w:val="18"/>
              </w:rPr>
              <w:t>OA 10</w:t>
            </w:r>
          </w:p>
          <w:p>
            <w:r>
              <w:rPr>
                <w:b w:val="0"/>
                <w:i w:val="0"/>
                <w:color w:val="595959"/>
                <w:sz w:val="14"/>
              </w:rPr>
              <w:t>(B 164 · P 66)</w:t>
            </w:r>
          </w:p>
        </w:tc>
        <w:tc>
          <w:tcPr>
            <w:tcW w:type="dxa" w:w="14967"/>
          </w:tcPr>
          <w:p>
            <w:r>
              <w:rPr>
                <w:b w:val="0"/>
                <w:i w:val="0"/>
                <w:sz w:val="18"/>
              </w:rPr>
              <w:t>Explicar, por medio de investigaciones experimentales, los efectos que tiene una fuerza neta sobre un objeto, utilizando las leyes de Newton y el diagrama de cuerpo libre.</w:t>
            </w:r>
          </w:p>
        </w:tc>
      </w:tr>
      <w:tr>
        <w:trPr>
          <w:cantSplit/>
        </w:trPr>
        <w:tc>
          <w:tcPr>
            <w:tcW w:type="dxa" w:w="1701"/>
          </w:tcPr>
          <w:p>
            <w:r>
              <w:rPr>
                <w:b/>
                <w:i w:val="0"/>
                <w:sz w:val="18"/>
              </w:rPr>
              <w:t>OA 11</w:t>
            </w:r>
          </w:p>
          <w:p>
            <w:r>
              <w:rPr>
                <w:b w:val="0"/>
                <w:i w:val="0"/>
                <w:color w:val="595959"/>
                <w:sz w:val="14"/>
              </w:rPr>
              <w:t>(B 164 · P 66)</w:t>
            </w:r>
          </w:p>
        </w:tc>
        <w:tc>
          <w:tcPr>
            <w:tcW w:type="dxa" w:w="14967"/>
          </w:tcPr>
          <w:p>
            <w:r>
              <w:rPr>
                <w:b w:val="0"/>
                <w:i w:val="0"/>
                <w:sz w:val="18"/>
              </w:rPr>
              <w:t>Describir el movimiento de un objeto, usando la ley de conservación de la energía mecánica y los conceptos de trabajo y potencia mecánica.</w:t>
            </w:r>
          </w:p>
        </w:tc>
      </w:tr>
      <w:tr>
        <w:trPr>
          <w:cantSplit/>
        </w:trPr>
        <w:tc>
          <w:tcPr>
            <w:tcW w:type="dxa" w:w="1701"/>
          </w:tcPr>
          <w:p>
            <w:r>
              <w:rPr>
                <w:b/>
                <w:i w:val="0"/>
                <w:sz w:val="18"/>
              </w:rPr>
              <w:t>OA 12</w:t>
            </w:r>
          </w:p>
          <w:p>
            <w:r>
              <w:rPr>
                <w:b w:val="0"/>
                <w:i w:val="0"/>
                <w:color w:val="595959"/>
                <w:sz w:val="14"/>
              </w:rPr>
              <w:t>(B 164 · P 66)</w:t>
            </w:r>
          </w:p>
        </w:tc>
        <w:tc>
          <w:tcPr>
            <w:tcW w:type="dxa" w:w="14967"/>
          </w:tcPr>
          <w:p>
            <w:r>
              <w:rPr>
                <w:b w:val="0"/>
                <w:i w:val="0"/>
                <w:sz w:val="18"/>
              </w:rPr>
              <w:t>Analizar e interpretar datos de investigaciones sobre colisiones entre objetos, considerando:</w:t>
            </w:r>
          </w:p>
          <w:p>
            <w:pPr>
              <w:pStyle w:val="ListBullet"/>
              <w:spacing w:after="20"/>
              <w:ind w:left="198" w:hanging="170"/>
            </w:pPr>
            <w:r>
              <w:rPr>
                <w:b w:val="0"/>
                <w:i w:val="0"/>
                <w:sz w:val="18"/>
              </w:rPr>
              <w:t>La cantidad de movimiento de un cuerpo en función del impulso que adquiere.</w:t>
            </w:r>
          </w:p>
          <w:p>
            <w:pPr>
              <w:pStyle w:val="ListBullet"/>
              <w:spacing w:after="20"/>
              <w:ind w:left="198" w:hanging="170"/>
            </w:pPr>
            <w:r>
              <w:rPr>
                <w:b w:val="0"/>
                <w:i w:val="0"/>
                <w:sz w:val="18"/>
              </w:rPr>
              <w:t>La ley de conservación de cantidad de movimiento (momento lineal o momentum).</w:t>
            </w:r>
          </w:p>
        </w:tc>
      </w:tr>
      <w:tr>
        <w:trPr>
          <w:cantSplit/>
        </w:trPr>
        <w:tc>
          <w:tcPr>
            <w:tcW w:type="dxa" w:w="1701"/>
          </w:tcPr>
          <w:p>
            <w:r>
              <w:rPr>
                <w:b/>
                <w:i w:val="0"/>
                <w:sz w:val="18"/>
              </w:rPr>
              <w:t>OA 13</w:t>
            </w:r>
          </w:p>
          <w:p>
            <w:r>
              <w:rPr>
                <w:b w:val="0"/>
                <w:i w:val="0"/>
                <w:color w:val="595959"/>
                <w:sz w:val="14"/>
              </w:rPr>
              <w:t>(B 164 · P 66)</w:t>
            </w:r>
          </w:p>
        </w:tc>
        <w:tc>
          <w:tcPr>
            <w:tcW w:type="dxa" w:w="14967"/>
          </w:tcPr>
          <w:p>
            <w:r>
              <w:rPr>
                <w:b w:val="0"/>
                <w:i w:val="0"/>
                <w:sz w:val="18"/>
              </w:rPr>
              <w:t>Demostrar que comprenden que el conocimiento del Universo cambia y aumenta a partir de nuevas evidencias, usando modelos como el geocéntrico y el heliocéntrico, y teorías como la del Big-Bang, entre otros.</w:t>
            </w:r>
          </w:p>
        </w:tc>
      </w:tr>
      <w:tr>
        <w:trPr>
          <w:cantSplit/>
        </w:trPr>
        <w:tc>
          <w:tcPr>
            <w:tcW w:type="dxa" w:w="1701"/>
          </w:tcPr>
          <w:p>
            <w:r>
              <w:rPr>
                <w:b/>
                <w:i w:val="0"/>
                <w:sz w:val="18"/>
              </w:rPr>
              <w:t>OA 14</w:t>
            </w:r>
          </w:p>
          <w:p>
            <w:r>
              <w:rPr>
                <w:b w:val="0"/>
                <w:i w:val="0"/>
                <w:color w:val="595959"/>
                <w:sz w:val="14"/>
              </w:rPr>
              <w:t>(B 165 · P 66)</w:t>
            </w:r>
          </w:p>
        </w:tc>
        <w:tc>
          <w:tcPr>
            <w:tcW w:type="dxa" w:w="14967"/>
          </w:tcPr>
          <w:p>
            <w:r>
              <w:rPr>
                <w:b w:val="0"/>
                <w:i w:val="0"/>
                <w:sz w:val="18"/>
              </w:rPr>
              <w:t>Explicar cualitativamente por medio de las leyes de Kepler y la de gravitación universal de Newton:</w:t>
            </w:r>
          </w:p>
          <w:p>
            <w:pPr>
              <w:pStyle w:val="ListBullet"/>
              <w:spacing w:after="20"/>
              <w:ind w:left="198" w:hanging="170"/>
            </w:pPr>
            <w:r>
              <w:rPr>
                <w:b w:val="0"/>
                <w:i w:val="0"/>
                <w:sz w:val="18"/>
              </w:rPr>
              <w:t>El origen de las mareas.</w:t>
            </w:r>
          </w:p>
          <w:p>
            <w:pPr>
              <w:pStyle w:val="ListBullet"/>
              <w:spacing w:after="20"/>
              <w:ind w:left="198" w:hanging="170"/>
            </w:pPr>
            <w:r>
              <w:rPr>
                <w:b w:val="0"/>
                <w:i w:val="0"/>
                <w:sz w:val="18"/>
              </w:rPr>
              <w:t>La formación y dinámica de estructuras cósmicas naturales, como el sistema solar y sus componentes, las estrellas y las galaxias.</w:t>
            </w:r>
          </w:p>
          <w:p>
            <w:pPr>
              <w:pStyle w:val="ListBullet"/>
              <w:spacing w:after="20"/>
              <w:ind w:left="198" w:hanging="170"/>
            </w:pPr>
            <w:r>
              <w:rPr>
                <w:b w:val="0"/>
                <w:i w:val="0"/>
                <w:sz w:val="18"/>
              </w:rPr>
              <w:t>El movimiento de estructuras artificiales como sondas, satélites y naves espaciales.</w:t>
            </w:r>
          </w:p>
        </w:tc>
      </w:tr>
      <w:tr>
        <w:trPr>
          <w:cantSplit/>
        </w:trPr>
        <w:tc>
          <w:tcPr>
            <w:tcW w:type="dxa" w:w="1701"/>
          </w:tcPr>
          <w:p>
            <w:r>
              <w:rPr>
                <w:b/>
                <w:i w:val="0"/>
                <w:sz w:val="18"/>
              </w:rPr>
              <w:t>OA a</w:t>
            </w:r>
          </w:p>
          <w:p>
            <w:r>
              <w:rPr>
                <w:b w:val="0"/>
                <w:i w:val="0"/>
                <w:color w:val="595959"/>
                <w:sz w:val="14"/>
              </w:rPr>
              <w:t>(P 197)</w:t>
            </w:r>
          </w:p>
        </w:tc>
        <w:tc>
          <w:tcPr>
            <w:tcW w:type="dxa" w:w="14967"/>
          </w:tcPr>
          <w:p>
            <w:r>
              <w:rPr>
                <w:b w:val="0"/>
                <w:i w:val="0"/>
                <w:sz w:val="18"/>
              </w:rPr>
              <w:t>Observar y describir detalladamente las características de objetos, procesos y fenómenos del mundo natural y tecnológico, usando los sentidos.</w:t>
            </w:r>
          </w:p>
        </w:tc>
      </w:tr>
      <w:tr>
        <w:trPr>
          <w:cantSplit/>
        </w:trPr>
        <w:tc>
          <w:tcPr>
            <w:tcW w:type="dxa" w:w="1701"/>
          </w:tcPr>
          <w:p>
            <w:r>
              <w:rPr>
                <w:b/>
                <w:i w:val="0"/>
                <w:sz w:val="18"/>
              </w:rPr>
              <w:t>OA b</w:t>
            </w:r>
          </w:p>
          <w:p>
            <w:r>
              <w:rPr>
                <w:b w:val="0"/>
                <w:i w:val="0"/>
                <w:color w:val="595959"/>
                <w:sz w:val="14"/>
              </w:rPr>
              <w:t>(P 197)</w:t>
            </w:r>
          </w:p>
        </w:tc>
        <w:tc>
          <w:tcPr>
            <w:tcW w:type="dxa" w:w="14967"/>
          </w:tcPr>
          <w:p>
            <w:r>
              <w:rPr>
                <w:b w:val="0"/>
                <w:i w:val="0"/>
                <w:sz w:val="18"/>
              </w:rPr>
              <w:t>Formular preguntas y/o problemas, a partir de conocimiento científico, que puedan ser resueltos mediante una investigación científica*.</w:t>
            </w:r>
          </w:p>
        </w:tc>
      </w:tr>
      <w:tr>
        <w:trPr>
          <w:cantSplit/>
        </w:trPr>
        <w:tc>
          <w:tcPr>
            <w:tcW w:type="dxa" w:w="1701"/>
          </w:tcPr>
          <w:p>
            <w:r>
              <w:rPr>
                <w:b/>
                <w:i w:val="0"/>
                <w:sz w:val="18"/>
              </w:rPr>
              <w:t>OA c</w:t>
            </w:r>
          </w:p>
          <w:p>
            <w:r>
              <w:rPr>
                <w:b w:val="0"/>
                <w:i w:val="0"/>
                <w:color w:val="595959"/>
                <w:sz w:val="14"/>
              </w:rPr>
              <w:t>(P 197)</w:t>
            </w:r>
          </w:p>
        </w:tc>
        <w:tc>
          <w:tcPr>
            <w:tcW w:type="dxa" w:w="14967"/>
          </w:tcPr>
          <w:p>
            <w:r>
              <w:rPr>
                <w:b w:val="0"/>
                <w:i w:val="0"/>
                <w:sz w:val="18"/>
              </w:rPr>
              <w:t>Formular y fundamentar hipótesis comprobables, basándose en conocimiento científico.</w:t>
            </w:r>
          </w:p>
        </w:tc>
      </w:tr>
      <w:tr>
        <w:trPr>
          <w:cantSplit/>
        </w:trPr>
        <w:tc>
          <w:tcPr>
            <w:tcW w:type="dxa" w:w="1701"/>
          </w:tcPr>
          <w:p>
            <w:r>
              <w:rPr>
                <w:b/>
                <w:i w:val="0"/>
                <w:sz w:val="18"/>
              </w:rPr>
              <w:t>OA d</w:t>
            </w:r>
          </w:p>
          <w:p>
            <w:r>
              <w:rPr>
                <w:b w:val="0"/>
                <w:i w:val="0"/>
                <w:color w:val="595959"/>
                <w:sz w:val="14"/>
              </w:rPr>
              <w:t>(P 198)</w:t>
            </w:r>
          </w:p>
        </w:tc>
        <w:tc>
          <w:tcPr>
            <w:tcW w:type="dxa" w:w="14967"/>
          </w:tcPr>
          <w:p>
            <w:r>
              <w:rPr>
                <w:b w:val="0"/>
                <w:i w:val="0"/>
                <w:sz w:val="18"/>
              </w:rPr>
              <w:t>Planificar diversos diseños de investigaciones experimentales que den respuesta a una pregunta y/o problema sobre la base de diversas fuentes de información científica, considerando:</w:t>
            </w:r>
          </w:p>
          <w:p>
            <w:pPr>
              <w:pStyle w:val="ListBullet"/>
              <w:spacing w:after="20"/>
              <w:ind w:left="198" w:hanging="170"/>
            </w:pPr>
            <w:r>
              <w:rPr>
                <w:b w:val="0"/>
                <w:i w:val="0"/>
                <w:sz w:val="18"/>
              </w:rPr>
              <w:t>El uso adecuado de instrumentos y materiales para asegurar la obtención de datos confiables.</w:t>
            </w:r>
          </w:p>
          <w:p>
            <w:pPr>
              <w:pStyle w:val="ListBullet"/>
              <w:spacing w:after="20"/>
              <w:ind w:left="198" w:hanging="170"/>
            </w:pPr>
            <w:r>
              <w:rPr>
                <w:b w:val="0"/>
                <w:i w:val="0"/>
                <w:sz w:val="18"/>
              </w:rPr>
              <w:t>La manipulación de variables y sus relaciones.</w:t>
            </w:r>
          </w:p>
          <w:p>
            <w:pPr>
              <w:pStyle w:val="ListBullet"/>
              <w:spacing w:after="20"/>
              <w:ind w:left="198" w:hanging="170"/>
            </w:pPr>
            <w:r>
              <w:rPr>
                <w:b w:val="0"/>
                <w:i w:val="0"/>
                <w:sz w:val="18"/>
              </w:rPr>
              <w:t>La explicación clara de procedimientos posibles de replicar.</w:t>
            </w:r>
          </w:p>
        </w:tc>
      </w:tr>
      <w:tr>
        <w:trPr>
          <w:cantSplit/>
        </w:trPr>
        <w:tc>
          <w:tcPr>
            <w:tcW w:type="dxa" w:w="1701"/>
          </w:tcPr>
          <w:p>
            <w:r>
              <w:rPr>
                <w:b/>
                <w:i w:val="0"/>
                <w:sz w:val="18"/>
              </w:rPr>
              <w:t>OA e</w:t>
            </w:r>
          </w:p>
          <w:p>
            <w:r>
              <w:rPr>
                <w:b w:val="0"/>
                <w:i w:val="0"/>
                <w:color w:val="595959"/>
                <w:sz w:val="14"/>
              </w:rPr>
              <w:t>(P 198)</w:t>
            </w:r>
          </w:p>
        </w:tc>
        <w:tc>
          <w:tcPr>
            <w:tcW w:type="dxa" w:w="14967"/>
          </w:tcPr>
          <w:p>
            <w:r>
              <w:rPr>
                <w:b w:val="0"/>
                <w:i w:val="0"/>
                <w:sz w:val="18"/>
              </w:rPr>
              <w:t>Planificar una investigación no experimental y/o documental que considere diversas fuentes de información para responder a preguntas científicas o para constituir el marco teórico de la investigación experimental.</w:t>
            </w:r>
          </w:p>
        </w:tc>
      </w:tr>
      <w:tr>
        <w:trPr>
          <w:cantSplit/>
        </w:trPr>
        <w:tc>
          <w:tcPr>
            <w:tcW w:type="dxa" w:w="1701"/>
          </w:tcPr>
          <w:p>
            <w:r>
              <w:rPr>
                <w:b/>
                <w:i w:val="0"/>
                <w:sz w:val="18"/>
              </w:rPr>
              <w:t>OA f</w:t>
            </w:r>
          </w:p>
          <w:p>
            <w:r>
              <w:rPr>
                <w:b w:val="0"/>
                <w:i w:val="0"/>
                <w:color w:val="595959"/>
                <w:sz w:val="14"/>
              </w:rPr>
              <w:t>(P 198)</w:t>
            </w:r>
          </w:p>
        </w:tc>
        <w:tc>
          <w:tcPr>
            <w:tcW w:type="dxa" w:w="14967"/>
          </w:tcPr>
          <w:p>
            <w:r>
              <w:rPr>
                <w:b w:val="0"/>
                <w:i w:val="0"/>
                <w:sz w:val="18"/>
              </w:rPr>
              <w:t>Conducir rigurosamente investigaciones científicas para obtener evidencias precisas y confiables con el apoyo de las TIC.</w:t>
            </w:r>
          </w:p>
        </w:tc>
      </w:tr>
      <w:tr>
        <w:trPr>
          <w:cantSplit/>
        </w:trPr>
        <w:tc>
          <w:tcPr>
            <w:tcW w:type="dxa" w:w="1701"/>
          </w:tcPr>
          <w:p>
            <w:r>
              <w:rPr>
                <w:b/>
                <w:i w:val="0"/>
                <w:sz w:val="18"/>
              </w:rPr>
              <w:t>OA g</w:t>
            </w:r>
          </w:p>
          <w:p>
            <w:r>
              <w:rPr>
                <w:b w:val="0"/>
                <w:i w:val="0"/>
                <w:color w:val="595959"/>
                <w:sz w:val="14"/>
              </w:rPr>
              <w:t>(P 198)</w:t>
            </w:r>
          </w:p>
        </w:tc>
        <w:tc>
          <w:tcPr>
            <w:tcW w:type="dxa" w:w="14967"/>
          </w:tcPr>
          <w:p>
            <w:r>
              <w:rPr>
                <w:b w:val="0"/>
                <w:i w:val="0"/>
                <w:sz w:val="18"/>
              </w:rPr>
              <w:t>Organizar el trabajo colaborativo, asignando responsabilidades, comunicándose en forma efectiva y siguiendo normas de seguridad.</w:t>
            </w:r>
          </w:p>
        </w:tc>
      </w:tr>
      <w:tr>
        <w:trPr>
          <w:cantSplit/>
        </w:trPr>
        <w:tc>
          <w:tcPr>
            <w:tcW w:type="dxa" w:w="1701"/>
          </w:tcPr>
          <w:p>
            <w:r>
              <w:rPr>
                <w:b/>
                <w:i w:val="0"/>
                <w:sz w:val="18"/>
              </w:rPr>
              <w:t>OA h</w:t>
            </w:r>
          </w:p>
          <w:p>
            <w:r>
              <w:rPr>
                <w:b w:val="0"/>
                <w:i w:val="0"/>
                <w:color w:val="595959"/>
                <w:sz w:val="14"/>
              </w:rPr>
              <w:t>(P 199)</w:t>
            </w:r>
          </w:p>
        </w:tc>
        <w:tc>
          <w:tcPr>
            <w:tcW w:type="dxa" w:w="14967"/>
          </w:tcPr>
          <w:p>
            <w:r>
              <w:rPr>
                <w:b w:val="0"/>
                <w:i w:val="0"/>
                <w:sz w:val="18"/>
              </w:rPr>
              <w:t>Organizar datos cuantitativos y/o cualitativos con precisión, fundamentando su confiabilidad, y presentarlos en tablas, gráficos, modelos u otras representaciones, con la ayuda de las TIC.</w:t>
            </w:r>
          </w:p>
        </w:tc>
      </w:tr>
      <w:tr>
        <w:trPr>
          <w:cantSplit/>
        </w:trPr>
        <w:tc>
          <w:tcPr>
            <w:tcW w:type="dxa" w:w="1701"/>
          </w:tcPr>
          <w:p>
            <w:r>
              <w:rPr>
                <w:b/>
                <w:i w:val="0"/>
                <w:sz w:val="18"/>
              </w:rPr>
              <w:t>OA i</w:t>
            </w:r>
          </w:p>
          <w:p>
            <w:r>
              <w:rPr>
                <w:b w:val="0"/>
                <w:i w:val="0"/>
                <w:color w:val="595959"/>
                <w:sz w:val="14"/>
              </w:rPr>
              <w:t>(P 199)</w:t>
            </w:r>
          </w:p>
        </w:tc>
        <w:tc>
          <w:tcPr>
            <w:tcW w:type="dxa" w:w="14967"/>
          </w:tcPr>
          <w:p>
            <w:r>
              <w:rPr>
                <w:b w:val="0"/>
                <w:i w:val="0"/>
                <w:sz w:val="18"/>
              </w:rPr>
              <w:t>Crear, seleccionar, usar y ajustar modelos para describir mecanismos y para predecir y apoyar explicaciones sobre las relaciones entre las partes de un sistema.</w:t>
            </w:r>
          </w:p>
        </w:tc>
      </w:tr>
      <w:tr>
        <w:trPr>
          <w:cantSplit/>
        </w:trPr>
        <w:tc>
          <w:tcPr>
            <w:tcW w:type="dxa" w:w="1701"/>
          </w:tcPr>
          <w:p>
            <w:r>
              <w:rPr>
                <w:b/>
                <w:i w:val="0"/>
                <w:sz w:val="18"/>
              </w:rPr>
              <w:t>OA j</w:t>
            </w:r>
          </w:p>
          <w:p>
            <w:r>
              <w:rPr>
                <w:b w:val="0"/>
                <w:i w:val="0"/>
                <w:color w:val="595959"/>
                <w:sz w:val="14"/>
              </w:rPr>
              <w:t>(P 199)</w:t>
            </w:r>
          </w:p>
        </w:tc>
        <w:tc>
          <w:tcPr>
            <w:tcW w:type="dxa" w:w="14967"/>
          </w:tcPr>
          <w:p>
            <w:r>
              <w:rPr>
                <w:b w:val="0"/>
                <w:i w:val="0"/>
                <w:sz w:val="18"/>
              </w:rPr>
              <w:t>Analizar y explicar los resultados de una investigación científica*, para plantear inferencias y conclusiones:</w:t>
            </w:r>
          </w:p>
          <w:p>
            <w:pPr>
              <w:pStyle w:val="ListBullet"/>
              <w:spacing w:after="20"/>
              <w:ind w:left="198" w:hanging="170"/>
            </w:pPr>
            <w:r>
              <w:rPr>
                <w:b w:val="0"/>
                <w:i w:val="0"/>
                <w:sz w:val="18"/>
              </w:rPr>
              <w:t>Comparando las relaciones, tendencias y patrones de las variables.</w:t>
            </w:r>
          </w:p>
          <w:p>
            <w:pPr>
              <w:pStyle w:val="ListBullet"/>
              <w:spacing w:after="20"/>
              <w:ind w:left="198" w:hanging="170"/>
            </w:pPr>
            <w:r>
              <w:rPr>
                <w:b w:val="0"/>
                <w:i w:val="0"/>
                <w:sz w:val="18"/>
              </w:rPr>
              <w:t>Usando expresiones y operaciones matemáticas cuando sea pertinente (por ejemplo: potencias, razones, funciones, notación científica, medidas de tendencia central, cambio porcentual).</w:t>
            </w:r>
          </w:p>
          <w:p>
            <w:pPr>
              <w:pStyle w:val="ListBullet"/>
              <w:spacing w:after="20"/>
              <w:ind w:left="198" w:hanging="170"/>
            </w:pPr>
            <w:r>
              <w:rPr>
                <w:b w:val="0"/>
                <w:i w:val="0"/>
                <w:sz w:val="18"/>
              </w:rPr>
              <w:t>Utilizando vocabulario disciplinar pertinente.</w:t>
            </w:r>
          </w:p>
        </w:tc>
      </w:tr>
      <w:tr>
        <w:trPr>
          <w:cantSplit/>
        </w:trPr>
        <w:tc>
          <w:tcPr>
            <w:tcW w:type="dxa" w:w="1701"/>
          </w:tcPr>
          <w:p>
            <w:r>
              <w:rPr>
                <w:b/>
                <w:i w:val="0"/>
                <w:sz w:val="18"/>
              </w:rPr>
              <w:t>OA k</w:t>
            </w:r>
          </w:p>
          <w:p>
            <w:r>
              <w:rPr>
                <w:b w:val="0"/>
                <w:i w:val="0"/>
                <w:color w:val="595959"/>
                <w:sz w:val="14"/>
              </w:rPr>
              <w:t>(P 200)</w:t>
            </w:r>
          </w:p>
        </w:tc>
        <w:tc>
          <w:tcPr>
            <w:tcW w:type="dxa" w:w="14967"/>
          </w:tcPr>
          <w:p>
            <w:r>
              <w:rPr>
                <w:b w:val="0"/>
                <w:i w:val="0"/>
                <w:sz w:val="18"/>
              </w:rPr>
              <w:t>Evaluar la investigación científica* con el fin de perfeccionarla, considerando:</w:t>
            </w:r>
          </w:p>
          <w:p>
            <w:pPr>
              <w:pStyle w:val="ListBullet"/>
              <w:spacing w:after="20"/>
              <w:ind w:left="198" w:hanging="170"/>
            </w:pPr>
            <w:r>
              <w:rPr>
                <w:b w:val="0"/>
                <w:i w:val="0"/>
                <w:sz w:val="18"/>
              </w:rPr>
              <w:t>La validez y confiabilidad de los resultados.</w:t>
            </w:r>
          </w:p>
          <w:p>
            <w:pPr>
              <w:pStyle w:val="ListBullet"/>
              <w:spacing w:after="20"/>
              <w:ind w:left="198" w:hanging="170"/>
            </w:pPr>
            <w:r>
              <w:rPr>
                <w:b w:val="0"/>
                <w:i w:val="0"/>
                <w:sz w:val="18"/>
              </w:rPr>
              <w:t>La replicabilidad de los procedimientos.</w:t>
            </w:r>
          </w:p>
          <w:p>
            <w:pPr>
              <w:pStyle w:val="ListBullet"/>
              <w:spacing w:after="20"/>
              <w:ind w:left="198" w:hanging="170"/>
            </w:pPr>
            <w:r>
              <w:rPr>
                <w:b w:val="0"/>
                <w:i w:val="0"/>
                <w:sz w:val="18"/>
              </w:rPr>
              <w:t>Las explicaciones, las predicciones y las conclusiones.</w:t>
            </w:r>
          </w:p>
          <w:p>
            <w:pPr>
              <w:pStyle w:val="ListBullet"/>
              <w:spacing w:after="20"/>
              <w:ind w:left="198" w:hanging="170"/>
            </w:pPr>
            <w:r>
              <w:rPr>
                <w:b w:val="0"/>
                <w:i w:val="0"/>
                <w:sz w:val="18"/>
              </w:rPr>
              <w:t>Las posibles aplicaciones tecnológicas.</w:t>
            </w:r>
          </w:p>
          <w:p>
            <w:pPr>
              <w:pStyle w:val="ListBullet"/>
              <w:spacing w:after="20"/>
              <w:ind w:left="198" w:hanging="170"/>
            </w:pPr>
            <w:r>
              <w:rPr>
                <w:b w:val="0"/>
                <w:i w:val="0"/>
                <w:sz w:val="18"/>
              </w:rPr>
              <w:t>El desempeño personal y grupal.</w:t>
            </w:r>
          </w:p>
        </w:tc>
      </w:tr>
      <w:tr>
        <w:trPr>
          <w:cantSplit/>
        </w:trPr>
        <w:tc>
          <w:tcPr>
            <w:tcW w:type="dxa" w:w="1701"/>
          </w:tcPr>
          <w:p>
            <w:r>
              <w:rPr>
                <w:b/>
                <w:i w:val="0"/>
                <w:sz w:val="18"/>
              </w:rPr>
              <w:t>OA l</w:t>
            </w:r>
          </w:p>
          <w:p>
            <w:r>
              <w:rPr>
                <w:b w:val="0"/>
                <w:i w:val="0"/>
                <w:color w:val="595959"/>
                <w:sz w:val="14"/>
              </w:rPr>
              <w:t>(P 200)</w:t>
            </w:r>
          </w:p>
        </w:tc>
        <w:tc>
          <w:tcPr>
            <w:tcW w:type="dxa" w:w="14967"/>
          </w:tcPr>
          <w:p>
            <w:r>
              <w:rPr>
                <w:b w:val="0"/>
                <w:i w:val="0"/>
                <w:sz w:val="18"/>
              </w:rPr>
              <w:t>Explicar y argumentar con evidencias provenientes de investigaciones científicas*, en forma oral y escrita, incluyendo tablas, gráficos, modelos y TIC.</w:t>
            </w:r>
          </w:p>
        </w:tc>
      </w:tr>
      <w:tr>
        <w:trPr>
          <w:cantSplit/>
        </w:trPr>
        <w:tc>
          <w:tcPr>
            <w:tcW w:type="dxa" w:w="1701"/>
          </w:tcPr>
          <w:p>
            <w:r>
              <w:rPr>
                <w:b/>
                <w:i w:val="0"/>
                <w:sz w:val="18"/>
              </w:rPr>
              <w:t>OA m</w:t>
            </w:r>
          </w:p>
          <w:p>
            <w:r>
              <w:rPr>
                <w:b w:val="0"/>
                <w:i w:val="0"/>
                <w:color w:val="595959"/>
                <w:sz w:val="14"/>
              </w:rPr>
              <w:t>(P 200)</w:t>
            </w:r>
          </w:p>
        </w:tc>
        <w:tc>
          <w:tcPr>
            <w:tcW w:type="dxa" w:w="14967"/>
          </w:tcPr>
          <w:p>
            <w:r>
              <w:rPr>
                <w:b w:val="0"/>
                <w:i w:val="0"/>
                <w:sz w:val="18"/>
              </w:rPr>
              <w:t>Discutir en forma oral y escrita las ideas para diseñar una investigación científica*, las posibles aplicaciones y soluciones a problemas tecnológicos, las teorías, las predicciones y las conclusiones, utilizando argumentos basados en evidencias y en el conocimiento científico y tecnológico.</w:t>
            </w:r>
          </w:p>
        </w:tc>
      </w:tr>
      <w:tr>
        <w:tc>
          <w:tcPr>
            <w:tcW w:type="dxa" w:w="16668"/>
            <w:gridSpan w:val="2"/>
          </w:tcPr>
          <w:p>
            <w:r/>
            <w:r>
              <w:rPr>
                <w:b/>
                <w:i w:val="0"/>
                <w:sz w:val="18"/>
              </w:rPr>
              <w:t>ACTITUDES</w:t>
            </w:r>
          </w:p>
        </w:tc>
      </w:tr>
      <w:tr>
        <w:trPr>
          <w:cantSplit/>
        </w:trPr>
        <w:tc>
          <w:tcPr>
            <w:tcW w:type="dxa" w:w="1701"/>
          </w:tcPr>
          <w:p>
            <w:r>
              <w:rPr>
                <w:b/>
                <w:i w:val="0"/>
                <w:sz w:val="18"/>
              </w:rPr>
              <w:t>OA A</w:t>
            </w:r>
          </w:p>
          <w:p>
            <w:r>
              <w:rPr>
                <w:b w:val="0"/>
                <w:i w:val="0"/>
                <w:color w:val="595959"/>
                <w:sz w:val="14"/>
              </w:rPr>
              <w:t>(P 201)</w:t>
            </w:r>
          </w:p>
        </w:tc>
        <w:tc>
          <w:tcPr>
            <w:tcW w:type="dxa" w:w="14967"/>
          </w:tcPr>
          <w:p>
            <w:r>
              <w:rPr>
                <w:b w:val="0"/>
                <w:i w:val="0"/>
                <w:sz w:val="18"/>
              </w:rPr>
              <w:t>Mostrar curiosidad, creatividad e interés por conocer y comprender los fenómenos del entorno natural y tecnológico, disfrutando del crecimiento intelectual que genera el conocimiento científico y valorando su importancia para el desarrollo de la sociedad.</w:t>
            </w:r>
          </w:p>
        </w:tc>
      </w:tr>
      <w:tr>
        <w:trPr>
          <w:cantSplit/>
        </w:trPr>
        <w:tc>
          <w:tcPr>
            <w:tcW w:type="dxa" w:w="1701"/>
          </w:tcPr>
          <w:p>
            <w:r>
              <w:rPr>
                <w:b/>
                <w:i w:val="0"/>
                <w:sz w:val="18"/>
              </w:rPr>
              <w:t>OA B</w:t>
            </w:r>
          </w:p>
          <w:p>
            <w:r>
              <w:rPr>
                <w:b w:val="0"/>
                <w:i w:val="0"/>
                <w:color w:val="595959"/>
                <w:sz w:val="14"/>
              </w:rPr>
              <w:t>(P 202)</w:t>
            </w:r>
          </w:p>
        </w:tc>
        <w:tc>
          <w:tcPr>
            <w:tcW w:type="dxa" w:w="14967"/>
          </w:tcPr>
          <w:p>
            <w:r>
              <w:rPr>
                <w:b w:val="0"/>
                <w:i w:val="0"/>
                <w:sz w:val="18"/>
              </w:rPr>
              <w:t>Esforzarse y perseverar en el trabajo personal entendiendo que los logros se obtienen solo después de un trabajo riguroso, y que los datos empíricamente confiables se obtienen si se trabaja con precisión y orden.</w:t>
            </w:r>
          </w:p>
        </w:tc>
      </w:tr>
      <w:tr>
        <w:trPr>
          <w:cantSplit/>
        </w:trPr>
        <w:tc>
          <w:tcPr>
            <w:tcW w:type="dxa" w:w="1701"/>
          </w:tcPr>
          <w:p>
            <w:r>
              <w:rPr>
                <w:b/>
                <w:i w:val="0"/>
                <w:sz w:val="18"/>
              </w:rPr>
              <w:t>OA C</w:t>
            </w:r>
          </w:p>
          <w:p>
            <w:r>
              <w:rPr>
                <w:b w:val="0"/>
                <w:i w:val="0"/>
                <w:color w:val="595959"/>
                <w:sz w:val="14"/>
              </w:rPr>
              <w:t>(P 202)</w:t>
            </w:r>
          </w:p>
        </w:tc>
        <w:tc>
          <w:tcPr>
            <w:tcW w:type="dxa" w:w="14967"/>
          </w:tcPr>
          <w:p>
            <w:r>
              <w:rPr>
                <w:b w:val="0"/>
                <w:i w:val="0"/>
                <w:sz w:val="18"/>
              </w:rPr>
              <w:t>Trabajar responsablemente en forma proactiva y colaborativa, considerando y respetando los variados aportes del equipo y manifestando disposición a entender los argumentos de otros en las soluciones a problemas científicos.</w:t>
            </w:r>
          </w:p>
        </w:tc>
      </w:tr>
      <w:tr>
        <w:trPr>
          <w:cantSplit/>
        </w:trPr>
        <w:tc>
          <w:tcPr>
            <w:tcW w:type="dxa" w:w="1701"/>
          </w:tcPr>
          <w:p>
            <w:r>
              <w:rPr>
                <w:b/>
                <w:i w:val="0"/>
                <w:sz w:val="18"/>
              </w:rPr>
              <w:t>OA D</w:t>
            </w:r>
          </w:p>
          <w:p>
            <w:r>
              <w:rPr>
                <w:b w:val="0"/>
                <w:i w:val="0"/>
                <w:color w:val="595959"/>
                <w:sz w:val="14"/>
              </w:rPr>
              <w:t>(P 203)</w:t>
            </w:r>
          </w:p>
        </w:tc>
        <w:tc>
          <w:tcPr>
            <w:tcW w:type="dxa" w:w="14967"/>
          </w:tcPr>
          <w:p>
            <w:r>
              <w:rPr>
                <w:b w:val="0"/>
                <w:i w:val="0"/>
                <w:sz w:val="18"/>
              </w:rPr>
              <w:t>Manifestar una actitud de pensamiento crítico, buscando rigurosidad y replicabilidad de las evidencias para sustentar las respuestas, las soluciones o las hipótesis.</w:t>
            </w:r>
          </w:p>
        </w:tc>
      </w:tr>
      <w:tr>
        <w:trPr>
          <w:cantSplit/>
        </w:trPr>
        <w:tc>
          <w:tcPr>
            <w:tcW w:type="dxa" w:w="1701"/>
          </w:tcPr>
          <w:p>
            <w:r>
              <w:rPr>
                <w:b/>
                <w:i w:val="0"/>
                <w:sz w:val="18"/>
              </w:rPr>
              <w:t>OA E</w:t>
            </w:r>
          </w:p>
          <w:p>
            <w:r>
              <w:rPr>
                <w:b w:val="0"/>
                <w:i w:val="0"/>
                <w:color w:val="595959"/>
                <w:sz w:val="14"/>
              </w:rPr>
              <w:t>(P 203)</w:t>
            </w:r>
          </w:p>
        </w:tc>
        <w:tc>
          <w:tcPr>
            <w:tcW w:type="dxa" w:w="14967"/>
          </w:tcPr>
          <w:p>
            <w:r>
              <w:rPr>
                <w:b w:val="0"/>
                <w:i w:val="0"/>
                <w:sz w:val="18"/>
              </w:rPr>
              <w:t>Usar de manera responsable y efectiva las tecnologías de la comunicación para favorecer las explicaciones científicas y el procesamiento de evidencias, dando crédito al trabajo de otros y respetando la propiedad y la privacidad de las personas.</w:t>
            </w:r>
          </w:p>
        </w:tc>
      </w:tr>
      <w:tr>
        <w:trPr>
          <w:cantSplit/>
        </w:trPr>
        <w:tc>
          <w:tcPr>
            <w:tcW w:type="dxa" w:w="1701"/>
          </w:tcPr>
          <w:p>
            <w:r>
              <w:rPr>
                <w:b/>
                <w:i w:val="0"/>
                <w:sz w:val="18"/>
              </w:rPr>
              <w:t>OA F</w:t>
            </w:r>
          </w:p>
          <w:p>
            <w:r>
              <w:rPr>
                <w:b w:val="0"/>
                <w:i w:val="0"/>
                <w:color w:val="595959"/>
                <w:sz w:val="14"/>
              </w:rPr>
              <w:t>(P 204)</w:t>
            </w:r>
          </w:p>
        </w:tc>
        <w:tc>
          <w:tcPr>
            <w:tcW w:type="dxa" w:w="14967"/>
          </w:tcPr>
          <w:p>
            <w:r>
              <w:rPr>
                <w:b w:val="0"/>
                <w:i w:val="0"/>
                <w:sz w:val="18"/>
              </w:rPr>
              <w:t>Demostrar valoración y cuidado por la salud y la integridad de las personas, evitando conductas de riesgo, considerando medidas de seguridad y tomando conciencia de las implicancias éticas de los avances científicos y tecnológicos.</w:t>
            </w:r>
          </w:p>
        </w:tc>
      </w:tr>
      <w:tr>
        <w:trPr>
          <w:cantSplit/>
        </w:trPr>
        <w:tc>
          <w:tcPr>
            <w:tcW w:type="dxa" w:w="1701"/>
          </w:tcPr>
          <w:p>
            <w:r>
              <w:rPr>
                <w:b/>
                <w:i w:val="0"/>
                <w:sz w:val="18"/>
              </w:rPr>
              <w:t>OA G</w:t>
            </w:r>
          </w:p>
          <w:p>
            <w:r>
              <w:rPr>
                <w:b w:val="0"/>
                <w:i w:val="0"/>
                <w:color w:val="595959"/>
                <w:sz w:val="14"/>
              </w:rPr>
              <w:t>(P 204)</w:t>
            </w:r>
          </w:p>
        </w:tc>
        <w:tc>
          <w:tcPr>
            <w:tcW w:type="dxa" w:w="14967"/>
          </w:tcPr>
          <w:p>
            <w:r>
              <w:rPr>
                <w:b w:val="0"/>
                <w:i w:val="0"/>
                <w:sz w:val="18"/>
              </w:rPr>
              <w:t>Reconocer la importancia del entorno natural y sus recursos, y manifestar conductas de cuidado y uso eficiente de los recursos naturales y energéticos en favor del desarrollo sustentable y la protección del ambiente.</w:t>
            </w:r>
          </w:p>
        </w:tc>
      </w:tr>
      <w:tr>
        <w:trPr>
          <w:cantSplit/>
        </w:trPr>
        <w:tc>
          <w:tcPr>
            <w:tcW w:type="dxa" w:w="1701"/>
          </w:tcPr>
          <w:p>
            <w:r>
              <w:rPr>
                <w:b/>
                <w:i w:val="0"/>
                <w:sz w:val="18"/>
              </w:rPr>
              <w:t>OA H</w:t>
            </w:r>
          </w:p>
          <w:p>
            <w:r>
              <w:rPr>
                <w:b w:val="0"/>
                <w:i w:val="0"/>
                <w:color w:val="595959"/>
                <w:sz w:val="14"/>
              </w:rPr>
              <w:t>(P 204)</w:t>
            </w:r>
          </w:p>
        </w:tc>
        <w:tc>
          <w:tcPr>
            <w:tcW w:type="dxa" w:w="14967"/>
          </w:tcPr>
          <w:p>
            <w:r>
              <w:rPr>
                <w:b w:val="0"/>
                <w:i w:val="0"/>
                <w:sz w:val="18"/>
              </w:rPr>
              <w:t>Demostrar valoración e interés por los aportes de hombres y mujeres al conocimiento científico y reconocer que desde siempre los seres humanos han intentado comprender el mundo.</w:t>
            </w:r>
          </w:p>
        </w:tc>
      </w:tr>
    </w:tbl>
    <w:p>
      <w:pPr>
        <w:pStyle w:val="Heading1"/>
      </w:pPr>
      <w:r>
        <w:t>H. Firmas</w:t>
      </w:r>
    </w:p>
    <w:tbl>
      <w:tblPr>
        <w:tblW w:type="dxa" w:w="16669"/>
        <w:jc w:val="center"/>
        <w:tblLayout w:type="fixed"/>
        <w:tblLook w:firstColumn="1" w:firstRow="1" w:lastColumn="0" w:lastRow="0" w:noHBand="0" w:noVBand="1" w:val="04A0"/>
        <w:tblBorders>
          <w:top w:val="single" w:sz="4" w:space="0" w:color="A6A6A6"/>
          <w:left w:val="single" w:sz="4" w:space="0" w:color="A6A6A6"/>
          <w:bottom w:val="single" w:sz="4" w:space="0" w:color="A6A6A6"/>
          <w:right w:val="single" w:sz="4" w:space="0" w:color="A6A6A6"/>
          <w:insideH w:val="single" w:sz="4" w:space="0" w:color="A6A6A6"/>
          <w:insideV w:val="single" w:sz="4" w:space="0" w:color="A6A6A6"/>
        </w:tblBorders>
        <w:tblCellMar>
          <w:top w:w="40" w:type="dxa"/>
          <w:bottom w:w="40" w:type="dxa"/>
          <w:left w:w="80" w:type="dxa"/>
          <w:right w:w="80" w:type="dxa"/>
        </w:tblCellMar>
      </w:tblPr>
      <w:tblGrid>
        <w:gridCol w:w="5556"/>
        <w:gridCol w:w="5556"/>
        <w:gridCol w:w="5556"/>
      </w:tblGrid>
      <w:tr>
        <w:trPr>
          <w:cantSplit/>
        </w:trPr>
        <w:tc>
          <w:tcPr>
            <w:tcW w:type="dxa" w:w="5556"/>
          </w:tcPr>
          <w:p/>
          <w:p/>
          <w:p/>
          <w:p/>
          <w:p>
            <w:pPr>
              <w:keepNext/>
              <w:spacing w:after="0"/>
              <w:jc w:val="center"/>
            </w:pPr>
            <w:r>
              <w:rPr>
                <w:b w:val="0"/>
                <w:i w:val="0"/>
                <w:color w:val="595959"/>
                <w:sz w:val="18"/>
              </w:rPr>
              <w:t>__________________________________</w:t>
            </w:r>
          </w:p>
          <w:p>
            <w:pPr>
              <w:jc w:val="center"/>
            </w:pPr>
            <w:r>
              <w:rPr>
                <w:b/>
                <w:i w:val="0"/>
                <w:sz w:val="18"/>
              </w:rPr>
              <w:t>Docente</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Jefe/a de UTP</w:t>
            </w:r>
          </w:p>
        </w:tc>
        <w:tc>
          <w:tcPr>
            <w:tcW w:type="dxa" w:w="5556"/>
          </w:tcPr>
          <w:p/>
          <w:p/>
          <w:p/>
          <w:p/>
          <w:p>
            <w:pPr>
              <w:keepNext/>
              <w:spacing w:after="0"/>
              <w:jc w:val="center"/>
            </w:pPr>
            <w:r>
              <w:rPr>
                <w:b w:val="0"/>
                <w:i w:val="0"/>
                <w:color w:val="595959"/>
                <w:sz w:val="18"/>
              </w:rPr>
              <w:t>__________________________________</w:t>
            </w:r>
          </w:p>
          <w:p>
            <w:pPr>
              <w:jc w:val="center"/>
            </w:pPr>
            <w:r>
              <w:rPr>
                <w:b/>
                <w:i w:val="0"/>
                <w:sz w:val="18"/>
              </w:rPr>
              <w:t>Fecha</w:t>
            </w:r>
          </w:p>
        </w:tc>
      </w:tr>
    </w:tbl>
    <w:sectPr w:rsidR="00FC693F" w:rsidRPr="0006063C" w:rsidSect="00034616">
      <w:headerReference w:type="default" r:id="rId9"/>
      <w:footerReference w:type="default" r:id="rId10"/>
      <w:pgSz w:w="18709" w:h="12246" w:orient="landscape"/>
      <w:pgMar w:top="1020" w:right="1020" w:bottom="1020" w:left="1020" w:header="454" w:footer="454"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b w:val="0"/>
        <w:i w:val="0"/>
        <w:color w:val="595959"/>
        <w:sz w:val="16"/>
      </w:rPr>
      <w:t xml:space="preserve">Basado en Programa de Estudio Ciencias Naturales 2° medio (eje Física), Mineduc (Decreto Exento N° 1264/2016) y Bases Curriculares DS 614/2013 y DS 369/2015  ·  Página </w:t>
    </w:r>
    <w:r>
      <w:rPr>
        <w:sz w:val="16"/>
      </w:rPr>
      <w:fldChar w:fldCharType="begin"/>
      <w:instrText xml:space="preserve"> PAGE </w:instrText>
      <w:fldChar w:fldCharType="separate"/>
      <w:t>1</w:t>
      <w:fldChar w:fldCharType="end"/>
    </w:r>
    <w:r>
      <w:rPr>
        <w:b w:val="0"/>
        <w:i w:val="0"/>
        <w:color w:val="595959"/>
        <w:sz w:val="16"/>
      </w:rPr>
      <w:t xml:space="preserve"> de </w:t>
    </w:r>
    <w:r>
      <w:rPr>
        <w:sz w:val="16"/>
      </w:rPr>
      <w:fldChar w:fldCharType="begin"/>
      <w:instrText xml:space="preserve"> NUMPAGES </w:instrText>
      <w:fldChar w:fldCharType="separate"/>
      <w:t>1</w:t>
      <w:fldChar w:fldCharType="end"/>
    </w:r>
  </w:p>
  <w:p>
    <w:pPr>
      <w:jc w:val="center"/>
    </w:pPr>
    <w:r>
      <w:rPr>
        <w:b w:val="0"/>
        <w:i w:val="0"/>
        <w:color w:val="595959"/>
        <w:sz w:val="15"/>
      </w:rPr>
      <w:t>Material gratuito descargado de EltioIA.cl · Documento de apoyo basado en el currículum nacional; no es una publicación oficial del Mineduc.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spacing w:after="0" w:line="40" w:lineRule="exact"/>
    </w:pPr>
  </w:p>
  <w:tbl>
    <w:tblPr>
      <w:tblW w:type="auto" w:w="0"/>
      <w:tblLayout w:type="fixed"/>
      <w:tblLook w:firstColumn="1" w:firstRow="1" w:lastColumn="0" w:lastRow="0" w:noHBand="0" w:noVBand="1" w:val="04A0"/>
    </w:tblPr>
    <w:tblGrid>
      <w:gridCol w:w="1134"/>
      <w:gridCol w:w="15534"/>
    </w:tblGrid>
    <w:tr>
      <w:tc>
        <w:tcPr>
          <w:tcW w:type="dxa" w:w="1134"/>
        </w:tcPr>
        <w:p>
          <w:r>
            <w:rPr>
              <w:b w:val="0"/>
              <w:i w:val="0"/>
              <w:color w:val="8C8C8C"/>
              <w:sz w:val="16"/>
            </w:rPr>
            <w:t>[Logo]</w:t>
          </w:r>
        </w:p>
      </w:tc>
      <w:tc>
        <w:tcPr>
          <w:tcW w:type="dxa" w:w="15534"/>
        </w:tcPr>
        <w:p>
          <w:pPr>
            <w:jc w:val="right"/>
          </w:pPr>
          <w:r>
            <w:rPr>
              <w:b/>
              <w:i w:val="0"/>
              <w:sz w:val="20"/>
            </w:rPr>
            <w:t>[Completar]</w:t>
          </w:r>
        </w:p>
        <w:p>
          <w:pPr>
            <w:jc w:val="right"/>
          </w:pPr>
          <w:r>
            <w:rPr>
              <w:b w:val="0"/>
              <w:i w:val="0"/>
              <w:color w:val="595959"/>
              <w:sz w:val="18"/>
            </w:rPr>
            <w:t>Planificación Anual 2027 · Ciencias Naturales: Física · 2° medio</w:t>
          </w:r>
        </w:p>
      </w:tc>
    </w:tr>
  </w:tbl>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40" w:before="0"/>
    </w:pPr>
    <w:rPr>
      <w:rFonts w:ascii="Calibri" w:hAnsi="Calibri" w:eastAsia="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Calibri" w:hAnsi="Calibri"/>
      <w:b/>
      <w:bCs/>
      <w:color w:val="000000"/>
      <w:sz w:val="22"/>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0"/>
      <w:contextualSpacing/>
    </w:pPr>
    <w:rPr>
      <w:rFonts w:ascii="Calibri" w:hAnsi="Calibri"/>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Planificación Anual 2027 — Ciencias Naturales: Física · 2° medio</dc:title>
  <dc:subject/>
  <dc:creator/>
  <cp:keywords/>
  <dc:description>Generado el 2026-10-23 desde programa_ciencias_2medio.pdf (sha256 49ba82915d32) con plantilla_anual.md v1.0.</dc:description>
  <cp:lastModifiedBy/>
  <cp:revision>1</cp:revision>
  <dcterms:created xsi:type="dcterms:W3CDTF">2013-12-23T23:15:00Z</dcterms:created>
  <dcterms:modified xsi:type="dcterms:W3CDTF">2013-12-23T23:15:00Z</dcterms:modified>
  <cp:category/>
</cp:coreProperties>
</file>