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 y Literatura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 y Literatura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analizan narrativa sobre exilio, migración e identidad, poesía del Siglo de Oro y teatro sobre el poder, junto con textos de los medios, para interpretar críticamente, escribir textos de diversos géneros y argumentar oralmente con fundamentos.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Sobre la ausencia: exilio, migración e identidad (narrativa)</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58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Ciudadanía y trabajo (medios de comunicación)</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58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Lo divino y lo humano (género lírico)</w:t>
            </w:r>
          </w:p>
        </w:tc>
        <w:tc>
          <w:tcPr>
            <w:tcW w:type="dxa" w:w="5329"/>
          </w:tcPr>
          <w:p>
            <w:pPr>
              <w:keepNext/>
            </w:pPr>
            <w:r>
              <w:rPr>
                <w:b w:val="0"/>
                <w:i w:val="0"/>
                <w:sz w:val="18"/>
              </w:rPr>
              <w:t>Semanas 20 a 29</w:t>
            </w:r>
          </w:p>
        </w:tc>
        <w:tc>
          <w:tcPr>
            <w:tcW w:type="dxa" w:w="2268"/>
          </w:tcPr>
          <w:p>
            <w:pPr>
              <w:keepNext/>
            </w:pPr>
            <w:r>
              <w:rPr>
                <w:b w:val="0"/>
                <w:i w:val="0"/>
                <w:sz w:val="18"/>
              </w:rPr>
              <w:t>≈ 7</w:t>
            </w:r>
          </w:p>
        </w:tc>
        <w:tc>
          <w:tcPr>
            <w:tcW w:type="dxa" w:w="2268"/>
          </w:tcPr>
          <w:p>
            <w:pPr>
              <w:keepNext/>
            </w:pPr>
            <w:r>
              <w:rPr>
                <w:b w:val="0"/>
                <w:i w:val="0"/>
                <w:sz w:val="18"/>
              </w:rPr>
              <w:t>40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Poder y ambición (género dramático)</w:t>
            </w:r>
          </w:p>
        </w:tc>
        <w:tc>
          <w:tcPr>
            <w:tcW w:type="dxa" w:w="5329"/>
          </w:tcPr>
          <w:p>
            <w:pPr>
              <w:keepNext/>
            </w:pPr>
            <w:r>
              <w:rPr>
                <w:b w:val="0"/>
                <w:i w:val="0"/>
                <w:sz w:val="18"/>
              </w:rPr>
              <w:t>Semanas 30 a 38</w:t>
            </w:r>
          </w:p>
        </w:tc>
        <w:tc>
          <w:tcPr>
            <w:tcW w:type="dxa" w:w="2268"/>
          </w:tcPr>
          <w:p>
            <w:pPr>
              <w:keepNext/>
            </w:pPr>
            <w:r>
              <w:rPr>
                <w:b w:val="0"/>
                <w:i w:val="0"/>
                <w:sz w:val="18"/>
              </w:rPr>
              <w:t>≈ 7</w:t>
            </w:r>
          </w:p>
        </w:tc>
        <w:tc>
          <w:tcPr>
            <w:tcW w:type="dxa" w:w="2268"/>
          </w:tcPr>
          <w:p>
            <w:pPr>
              <w:keepNext/>
            </w:pPr>
            <w:r>
              <w:rPr>
                <w:b w:val="0"/>
                <w:i w:val="0"/>
                <w:sz w:val="18"/>
              </w:rPr>
              <w:t>40</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32</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67).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Sobre la ausencia: exilio, migración e identidad (narrativa)</w:t>
            </w:r>
          </w:p>
          <w:p>
            <w:r>
              <w:rPr>
                <w:b w:val="0"/>
                <w:i w:val="0"/>
                <w:sz w:val="15"/>
              </w:rPr>
              <w:t>El propósito de esta unidad es que los y las estudiantes lean y se familiaricen con obras de autores representativos de la narrativa, principalmente latinoamericana, con la finalidad de que reconozcan rasgos de nuestra identidad, y además discutir temas que, junto con ser cercanos a nuestra historia reciente, son de carácter universal, como la migración y el exilio.</w:t>
            </w:r>
          </w:p>
          <w:p>
            <w:r>
              <w:rPr>
                <w:b w:val="0"/>
                <w:i w:val="0"/>
                <w:color w:val="595959"/>
                <w:sz w:val="14"/>
              </w:rPr>
              <w:t>Programa, págs. 78–127</w:t>
            </w:r>
          </w:p>
        </w:tc>
        <w:tc>
          <w:tcPr>
            <w:tcW w:type="dxa" w:w="1134"/>
          </w:tcPr>
          <w:p>
            <w:r/>
            <w:r>
              <w:rPr>
                <w:b/>
                <w:i w:val="0"/>
                <w:sz w:val="15"/>
              </w:rPr>
              <w:t>Semestre 1</w:t>
            </w:r>
          </w:p>
          <w:p>
            <w:r>
              <w:rPr>
                <w:b w:val="0"/>
                <w:i w:val="0"/>
                <w:sz w:val="15"/>
              </w:rPr>
              <w:t>58 h pedagógicas</w:t>
            </w:r>
          </w:p>
          <w:p>
            <w:r>
              <w:rPr>
                <w:b w:val="0"/>
                <w:i w:val="0"/>
                <w:color w:val="595959"/>
                <w:sz w:val="15"/>
              </w:rPr>
              <w:t>Semanas 1 a 10</w:t>
            </w:r>
          </w:p>
        </w:tc>
        <w:tc>
          <w:tcPr>
            <w:tcW w:type="dxa" w:w="1134"/>
          </w:tcPr>
          <w:p>
            <w:r/>
            <w:r>
              <w:rPr>
                <w:b/>
                <w:i w:val="0"/>
                <w:sz w:val="15"/>
              </w:rPr>
              <w:t>OA 1, OA 2, OA 3, OA 7, OA 8, OA 9, OA 11, OA 12, OA 13, OA 14, OA 15, OA 18, OA 19, OA 20, OA 21, OA 22, OA 24</w:t>
            </w:r>
          </w:p>
          <w:p>
            <w:r>
              <w:rPr>
                <w:b w:val="0"/>
                <w:i w:val="0"/>
                <w:color w:val="595959"/>
                <w:sz w:val="14"/>
              </w:rPr>
              <w:t>(texto en Anexo G)</w:t>
            </w:r>
          </w:p>
          <w:p>
            <w:r>
              <w:rPr>
                <w:b w:val="0"/>
                <w:i w:val="0"/>
                <w:sz w:val="14"/>
              </w:rPr>
              <w:t>Evaluados en los ejemplos del Programa:</w:t>
            </w:r>
          </w:p>
          <w:p>
            <w:r>
              <w:rPr>
                <w:b/>
                <w:i w:val="0"/>
                <w:sz w:val="15"/>
              </w:rPr>
              <w:t>OA 9, OA 14</w:t>
            </w:r>
          </w:p>
        </w:tc>
        <w:tc>
          <w:tcPr>
            <w:tcW w:type="dxa" w:w="2438"/>
          </w:tcPr>
          <w:p>
            <w:r/>
            <w:r>
              <w:rPr>
                <w:b/>
                <w:i w:val="0"/>
                <w:sz w:val="15"/>
              </w:rPr>
              <w:t>Habilidades</w:t>
            </w:r>
          </w:p>
          <w:p>
            <w:pPr>
              <w:pStyle w:val="ListBullet"/>
              <w:spacing w:after="20"/>
              <w:ind w:left="198" w:hanging="170"/>
            </w:pPr>
            <w:r>
              <w:rPr>
                <w:b w:val="0"/>
                <w:i w:val="0"/>
                <w:sz w:val="15"/>
              </w:rPr>
              <w:t>Analizar críticamente narraciones latinoamericanas.</w:t>
            </w:r>
          </w:p>
          <w:p>
            <w:pPr>
              <w:pStyle w:val="ListBullet"/>
              <w:spacing w:after="20"/>
              <w:ind w:left="198" w:hanging="170"/>
            </w:pPr>
            <w:r>
              <w:rPr>
                <w:b w:val="0"/>
                <w:i w:val="0"/>
                <w:sz w:val="15"/>
              </w:rPr>
              <w:t>Interpretar recursos narrativos de la literatura contemporánea.</w:t>
            </w:r>
          </w:p>
          <w:p>
            <w:pPr>
              <w:pStyle w:val="ListBullet"/>
              <w:spacing w:after="20"/>
              <w:ind w:left="198" w:hanging="170"/>
            </w:pPr>
            <w:r>
              <w:rPr>
                <w:b w:val="0"/>
                <w:i w:val="0"/>
                <w:sz w:val="15"/>
              </w:rPr>
              <w:t>Argumentar ideas en forma oral y escrita.</w:t>
            </w:r>
          </w:p>
        </w:tc>
        <w:tc>
          <w:tcPr>
            <w:tcW w:type="dxa" w:w="2438"/>
          </w:tcPr>
          <w:p>
            <w:r/>
            <w:r>
              <w:rPr>
                <w:b/>
                <w:i w:val="0"/>
                <w:sz w:val="15"/>
              </w:rPr>
              <w:t>Conocimientos</w:t>
            </w:r>
          </w:p>
          <w:p>
            <w:pPr>
              <w:pStyle w:val="ListBullet"/>
              <w:spacing w:after="20"/>
              <w:ind w:left="198" w:hanging="170"/>
            </w:pPr>
            <w:r>
              <w:rPr>
                <w:b w:val="0"/>
                <w:i w:val="0"/>
                <w:sz w:val="15"/>
              </w:rPr>
              <w:t>Narrador.</w:t>
            </w:r>
          </w:p>
          <w:p>
            <w:pPr>
              <w:pStyle w:val="ListBullet"/>
              <w:spacing w:after="20"/>
              <w:ind w:left="198" w:hanging="170"/>
            </w:pPr>
            <w:r>
              <w:rPr>
                <w:b w:val="0"/>
                <w:i w:val="0"/>
                <w:sz w:val="15"/>
              </w:rPr>
              <w:t>Contraargumentación.</w:t>
            </w:r>
          </w:p>
          <w:p>
            <w:pPr>
              <w:pStyle w:val="ListBullet"/>
              <w:spacing w:after="20"/>
              <w:ind w:left="198" w:hanging="170"/>
            </w:pPr>
            <w:r>
              <w:rPr>
                <w:b w:val="0"/>
                <w:i w:val="0"/>
                <w:sz w:val="15"/>
              </w:rPr>
              <w:t>Punto de vista.</w:t>
            </w:r>
          </w:p>
          <w:p>
            <w:pPr>
              <w:pStyle w:val="ListBullet"/>
              <w:spacing w:after="20"/>
              <w:ind w:left="198" w:hanging="170"/>
            </w:pPr>
            <w:r>
              <w:rPr>
                <w:b w:val="0"/>
                <w:i w:val="0"/>
                <w:sz w:val="15"/>
              </w:rPr>
              <w:t>Crítica literaria.</w:t>
            </w:r>
          </w:p>
          <w:p>
            <w:r>
              <w:rPr>
                <w:b/>
                <w:i w:val="0"/>
                <w:sz w:val="15"/>
              </w:rPr>
              <w:t>Palabras clave</w:t>
            </w:r>
          </w:p>
          <w:p>
            <w:pPr>
              <w:pStyle w:val="ListBullet"/>
              <w:spacing w:after="20"/>
              <w:ind w:left="198" w:hanging="170"/>
            </w:pPr>
            <w:r>
              <w:rPr>
                <w:b w:val="0"/>
                <w:i w:val="0"/>
                <w:sz w:val="15"/>
              </w:rPr>
              <w:t>Identidad, cuento latinoamericano, contexto de producción, exilio. Sobre la ausencia: exilio, migración e identidad (Narrativa)</w:t>
            </w:r>
          </w:p>
        </w:tc>
        <w:tc>
          <w:tcPr>
            <w:tcW w:type="dxa" w:w="3175"/>
          </w:tcPr>
          <w:p>
            <w:r/>
            <w:r>
              <w:rPr>
                <w:b/>
                <w:i w:val="0"/>
                <w:sz w:val="15"/>
              </w:rPr>
              <w:t>Evaluación 1 (OA 9) · pág. 121</w:t>
            </w:r>
          </w:p>
          <w:p>
            <w:pPr>
              <w:pStyle w:val="ListBullet"/>
              <w:spacing w:after="20"/>
              <w:ind w:left="198" w:hanging="170"/>
            </w:pPr>
            <w:r>
              <w:rPr>
                <w:b w:val="0"/>
                <w:i w:val="0"/>
                <w:sz w:val="15"/>
              </w:rPr>
              <w:t>Evalúan la eficacia de un texto con finalidad argumentativa, considerando la calidad de sus argumentos y de sus recursos empleados.</w:t>
            </w:r>
          </w:p>
          <w:p>
            <w:pPr>
              <w:pStyle w:val="ListBullet"/>
              <w:spacing w:after="20"/>
              <w:ind w:left="198" w:hanging="170"/>
            </w:pPr>
            <w:r>
              <w:rPr>
                <w:b w:val="0"/>
                <w:i w:val="0"/>
                <w:sz w:val="15"/>
              </w:rPr>
              <w:t>Analizan la estrategia argumentativa del texto leído a partir de la organización de sus ideas, tipos de argumentos, recursos retóricos y modalizadores empleados.</w:t>
            </w:r>
          </w:p>
          <w:p>
            <w:pPr>
              <w:pStyle w:val="ListBullet"/>
              <w:spacing w:after="20"/>
              <w:ind w:left="198" w:hanging="170"/>
            </w:pPr>
            <w:r>
              <w:rPr>
                <w:b w:val="0"/>
                <w:i w:val="0"/>
                <w:sz w:val="15"/>
              </w:rPr>
              <w:t>Fundamentan una postura frente a lo leído, considerando los argumentos planteados en el texto y su propia visión sobre este.</w:t>
            </w:r>
          </w:p>
          <w:p>
            <w:r>
              <w:rPr>
                <w:b/>
                <w:i w:val="0"/>
                <w:sz w:val="15"/>
              </w:rPr>
              <w:t>Evaluación 2 (OA 14) · pág. 124</w:t>
            </w:r>
          </w:p>
          <w:p>
            <w:pPr>
              <w:pStyle w:val="ListBullet"/>
              <w:spacing w:after="20"/>
              <w:ind w:left="198" w:hanging="170"/>
            </w:pPr>
            <w:r>
              <w:rPr>
                <w:b w:val="0"/>
                <w:i w:val="0"/>
                <w:sz w:val="15"/>
              </w:rPr>
              <w:t>Organizan sus ideas de acuerdo con las características de géneros discursivos que tienen como propósito persuadir.</w:t>
            </w:r>
          </w:p>
          <w:p>
            <w:pPr>
              <w:pStyle w:val="ListBullet"/>
              <w:spacing w:after="20"/>
              <w:ind w:left="198" w:hanging="170"/>
            </w:pPr>
            <w:r>
              <w:rPr>
                <w:b w:val="0"/>
                <w:i w:val="0"/>
                <w:sz w:val="15"/>
              </w:rPr>
              <w:t>Presentan las ideas de sus textos de manera coherente a nivel local y global, evitando digresiones e ideas contradictorias y manteniendo el tema.</w:t>
            </w:r>
          </w:p>
          <w:p>
            <w:pPr>
              <w:pStyle w:val="ListBullet"/>
              <w:spacing w:after="20"/>
              <w:ind w:left="198" w:hanging="170"/>
            </w:pPr>
            <w:r>
              <w:rPr>
                <w:b w:val="0"/>
                <w:i w:val="0"/>
                <w:sz w:val="15"/>
              </w:rPr>
              <w:t>Desarrollan sus argumentos incorporando diversos recursos discursivos y formales, y referencias de acuerdo al propósito comunicativo de sus textos.</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G: </w:t>
            </w:r>
            <w:r>
              <w:rPr>
                <w:b w:val="0"/>
                <w:i w:val="0"/>
                <w:sz w:val="15"/>
              </w:rPr>
              <w:t>Realizar tareas y trabajos de forma rigurosa y perseverante, entendiendo que los logros se obtienen solo después de un trabajo prolongado.</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lectura de un relato breve con preguntas de interpretación y un párrafo argumentativo.</w:t>
            </w:r>
          </w:p>
          <w:p>
            <w:r>
              <w:rPr>
                <w:b/>
                <w:i w:val="0"/>
                <w:sz w:val="15"/>
              </w:rPr>
              <w:t xml:space="preserve">Formativa. </w:t>
            </w:r>
            <w:r>
              <w:rPr>
                <w:b/>
                <w:i/>
                <w:color w:val="595959"/>
                <w:sz w:val="15"/>
              </w:rPr>
              <w:t xml:space="preserve">Sugerencia — revisar: </w:t>
            </w:r>
            <w:r>
              <w:rPr>
                <w:b w:val="0"/>
                <w:i/>
                <w:color w:val="595959"/>
                <w:sz w:val="15"/>
              </w:rPr>
              <w:t>Guías de lectura y bitácora de lectura revisadas en clase; retroalimentación de un ensayo breve.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Análisis y evaluación de argumentos de un texto Después de efectuar la actividad 7, Análisis y evaluación de argumentos sobre los temas de la unidad, se propone a las y los docentes efectuar el análisis y evaluación de un texto argumentativo que aborde uno de los temas de la unidad discutidos en dicha actividad, de manera que los y las estudiantes puedan poner en práctica lo trabajado en ella y se pueda evaluar el nivel de logro al momento de analizar textos de esta naturaleza. Instrumento: Rúbrica para evaluar una argumentación. (pág. 121)</w:t>
            </w:r>
          </w:p>
          <w:p>
            <w:pPr>
              <w:pStyle w:val="ListBullet"/>
              <w:spacing w:after="20"/>
              <w:ind w:left="198" w:hanging="170"/>
            </w:pPr>
            <w:r>
              <w:rPr>
                <w:b/>
                <w:i w:val="0"/>
                <w:sz w:val="15"/>
              </w:rPr>
              <w:t xml:space="preserve">Evaluación 2: </w:t>
            </w:r>
            <w:r>
              <w:rPr>
                <w:b w:val="0"/>
                <w:i w:val="0"/>
                <w:sz w:val="15"/>
              </w:rPr>
              <w:t>Promoción de autores y autoras de Latinoamérica en la Época Contemporánea o divulgación de una opinión sobre controversias en torno a la identidad y la migración Para evaluar los textos producidos en la actividad 10, el o la docente puede emplear la rúbrica propuesta a continuación. Instrumento: Rúbrica para evaluar textos argumentativos. (pág. 124)</w:t>
            </w:r>
          </w:p>
        </w:tc>
        <w:tc>
          <w:tcPr>
            <w:tcW w:type="dxa" w:w="1247"/>
          </w:tcPr>
          <w:p>
            <w:r/>
            <w:r>
              <w:rPr>
                <w:b/>
                <w:i/>
                <w:color w:val="595959"/>
                <w:sz w:val="15"/>
              </w:rPr>
              <w:t xml:space="preserve">Sugerencia — revisar: </w:t>
            </w:r>
            <w:r>
              <w:rPr>
                <w:b w:val="0"/>
                <w:i/>
                <w:color w:val="595959"/>
                <w:sz w:val="15"/>
              </w:rPr>
              <w:t>Novelas y cuentos sobre exilio y migración; testimonios de migrantes en la región; biblioteca CRA.</w:t>
            </w:r>
          </w:p>
        </w:tc>
      </w:tr>
      <w:tr>
        <w:tc>
          <w:tcPr>
            <w:tcW w:type="dxa" w:w="1757"/>
          </w:tcPr>
          <w:p>
            <w:r/>
            <w:r>
              <w:rPr>
                <w:b/>
                <w:i w:val="0"/>
                <w:sz w:val="16"/>
              </w:rPr>
              <w:t>Unidad 2</w:t>
            </w:r>
          </w:p>
          <w:p>
            <w:r>
              <w:rPr>
                <w:b/>
                <w:i w:val="0"/>
                <w:sz w:val="16"/>
              </w:rPr>
              <w:t>Ciudadanía y trabajo (medios de comunicación)</w:t>
            </w:r>
          </w:p>
          <w:p>
            <w:r>
              <w:rPr>
                <w:b w:val="0"/>
                <w:i w:val="0"/>
                <w:sz w:val="15"/>
              </w:rPr>
              <w:t>El propósito central de esta unidad, titulada Ciudadanía y trabajo, es que los y las estudiantes realicen una lectura crítica de los mensajes que transmiten los medios de comunicación.</w:t>
            </w:r>
          </w:p>
          <w:p>
            <w:r>
              <w:rPr>
                <w:b w:val="0"/>
                <w:i w:val="0"/>
                <w:color w:val="595959"/>
                <w:sz w:val="14"/>
              </w:rPr>
              <w:t>Programa, págs. 128–189</w:t>
            </w:r>
          </w:p>
        </w:tc>
        <w:tc>
          <w:tcPr>
            <w:tcW w:type="dxa" w:w="1134"/>
          </w:tcPr>
          <w:p>
            <w:r/>
            <w:r>
              <w:rPr>
                <w:b/>
                <w:i w:val="0"/>
                <w:sz w:val="15"/>
              </w:rPr>
              <w:t>Semestre 1</w:t>
            </w:r>
          </w:p>
          <w:p>
            <w:r>
              <w:rPr>
                <w:b w:val="0"/>
                <w:i w:val="0"/>
                <w:sz w:val="15"/>
              </w:rPr>
              <w:t>58 h pedagógicas</w:t>
            </w:r>
          </w:p>
          <w:p>
            <w:r>
              <w:rPr>
                <w:b w:val="0"/>
                <w:i w:val="0"/>
                <w:color w:val="595959"/>
                <w:sz w:val="15"/>
              </w:rPr>
              <w:t>Semanas 11 a 19</w:t>
            </w:r>
          </w:p>
        </w:tc>
        <w:tc>
          <w:tcPr>
            <w:tcW w:type="dxa" w:w="1134"/>
          </w:tcPr>
          <w:p>
            <w:r/>
            <w:r>
              <w:rPr>
                <w:b/>
                <w:i w:val="0"/>
                <w:sz w:val="15"/>
              </w:rPr>
              <w:t>OA 1, OA 2, OA 3, OA 8, OA 9, OA 10, OA 12, OA 13, OA 14, OA 15, OA 16, OA 17, OA 18, OA 19, OA 20, OA 21, OA 22, OA 23, OA 24</w:t>
            </w:r>
          </w:p>
          <w:p>
            <w:r>
              <w:rPr>
                <w:b w:val="0"/>
                <w:i w:val="0"/>
                <w:color w:val="595959"/>
                <w:sz w:val="14"/>
              </w:rPr>
              <w:t>(texto en Anexo G)</w:t>
            </w:r>
          </w:p>
          <w:p>
            <w:r>
              <w:rPr>
                <w:b w:val="0"/>
                <w:i w:val="0"/>
                <w:sz w:val="14"/>
              </w:rPr>
              <w:t>Evaluados en los ejemplos del Programa:</w:t>
            </w:r>
          </w:p>
          <w:p>
            <w:r>
              <w:rPr>
                <w:b/>
                <w:i w:val="0"/>
                <w:sz w:val="15"/>
              </w:rPr>
              <w:t>OA 10, OA 22</w:t>
            </w:r>
          </w:p>
        </w:tc>
        <w:tc>
          <w:tcPr>
            <w:tcW w:type="dxa" w:w="2438"/>
          </w:tcPr>
          <w:p>
            <w:r/>
            <w:r>
              <w:rPr>
                <w:b/>
                <w:i w:val="0"/>
                <w:sz w:val="15"/>
              </w:rPr>
              <w:t>Habilidades</w:t>
            </w:r>
          </w:p>
          <w:p>
            <w:pPr>
              <w:pStyle w:val="ListBullet"/>
              <w:spacing w:after="20"/>
              <w:ind w:left="198" w:hanging="170"/>
            </w:pPr>
            <w:r>
              <w:rPr>
                <w:b w:val="0"/>
                <w:i w:val="0"/>
                <w:sz w:val="15"/>
              </w:rPr>
              <w:t>Analizar críticamente textos de los medios de comunicación.</w:t>
            </w:r>
          </w:p>
          <w:p>
            <w:pPr>
              <w:pStyle w:val="ListBullet"/>
              <w:spacing w:after="20"/>
              <w:ind w:left="198" w:hanging="170"/>
            </w:pPr>
            <w:r>
              <w:rPr>
                <w:b w:val="0"/>
                <w:i w:val="0"/>
                <w:sz w:val="15"/>
              </w:rPr>
              <w:t>Analizar el propósito persuasivo de recursos lingüísticos y no lingüísticos.</w:t>
            </w:r>
          </w:p>
          <w:p>
            <w:pPr>
              <w:pStyle w:val="ListBullet"/>
              <w:spacing w:after="20"/>
              <w:ind w:left="198" w:hanging="170"/>
            </w:pPr>
            <w:r>
              <w:rPr>
                <w:b w:val="0"/>
                <w:i w:val="0"/>
                <w:sz w:val="15"/>
              </w:rPr>
              <w:t>Evaluar críticamente mensajes de los medios de comunicación.</w:t>
            </w:r>
          </w:p>
          <w:p>
            <w:pPr>
              <w:pStyle w:val="ListBullet"/>
              <w:spacing w:after="20"/>
              <w:ind w:left="198" w:hanging="170"/>
            </w:pPr>
            <w:r>
              <w:rPr>
                <w:b w:val="0"/>
                <w:i w:val="0"/>
                <w:sz w:val="15"/>
              </w:rPr>
              <w:t>Producir un reportaje audiovisual.</w:t>
            </w:r>
          </w:p>
        </w:tc>
        <w:tc>
          <w:tcPr>
            <w:tcW w:type="dxa" w:w="2438"/>
          </w:tcPr>
          <w:p>
            <w:r/>
            <w:r>
              <w:rPr>
                <w:b/>
                <w:i w:val="0"/>
                <w:sz w:val="15"/>
              </w:rPr>
              <w:t>Conocimientos</w:t>
            </w:r>
          </w:p>
          <w:p>
            <w:pPr>
              <w:pStyle w:val="ListBullet"/>
              <w:spacing w:after="20"/>
              <w:ind w:left="198" w:hanging="170"/>
            </w:pPr>
            <w:r>
              <w:rPr>
                <w:b w:val="0"/>
                <w:i w:val="0"/>
                <w:sz w:val="15"/>
              </w:rPr>
              <w:t>Análisis multimodal.</w:t>
            </w:r>
          </w:p>
          <w:p>
            <w:pPr>
              <w:pStyle w:val="ListBullet"/>
              <w:spacing w:after="20"/>
              <w:ind w:left="198" w:hanging="170"/>
            </w:pPr>
            <w:r>
              <w:rPr>
                <w:b w:val="0"/>
                <w:i w:val="0"/>
                <w:sz w:val="15"/>
              </w:rPr>
              <w:t>Conectores argumentativos.</w:t>
            </w:r>
          </w:p>
          <w:p>
            <w:pPr>
              <w:pStyle w:val="ListBullet"/>
              <w:spacing w:after="20"/>
              <w:ind w:left="198" w:hanging="170"/>
            </w:pPr>
            <w:r>
              <w:rPr>
                <w:b w:val="0"/>
                <w:i w:val="0"/>
                <w:sz w:val="15"/>
              </w:rPr>
              <w:t>Recursos lingüísticos y no lingüísticos de persuasión.</w:t>
            </w:r>
          </w:p>
          <w:p>
            <w:pPr>
              <w:pStyle w:val="ListBullet"/>
              <w:spacing w:after="20"/>
              <w:ind w:left="198" w:hanging="170"/>
            </w:pPr>
            <w:r>
              <w:rPr>
                <w:b w:val="0"/>
                <w:i w:val="0"/>
                <w:sz w:val="15"/>
              </w:rPr>
              <w:t>Reportaje audiovisual.</w:t>
            </w:r>
          </w:p>
          <w:p>
            <w:r>
              <w:rPr>
                <w:b/>
                <w:i w:val="0"/>
                <w:sz w:val="15"/>
              </w:rPr>
              <w:t>Palabras clave</w:t>
            </w:r>
          </w:p>
          <w:p>
            <w:pPr>
              <w:pStyle w:val="ListBullet"/>
              <w:spacing w:after="20"/>
              <w:ind w:left="198" w:hanging="170"/>
            </w:pPr>
            <w:r>
              <w:rPr>
                <w:b w:val="0"/>
                <w:i w:val="0"/>
                <w:sz w:val="15"/>
              </w:rPr>
              <w:t>Estrategias de persuasión, medios de comunicación, multimodalidad, ciudadanía.</w:t>
            </w:r>
          </w:p>
        </w:tc>
        <w:tc>
          <w:tcPr>
            <w:tcW w:type="dxa" w:w="3175"/>
          </w:tcPr>
          <w:p>
            <w:r/>
            <w:r>
              <w:rPr>
                <w:b/>
                <w:i w:val="0"/>
                <w:sz w:val="15"/>
              </w:rPr>
              <w:t>Evaluación 1 (OA 10) · pág. 184</w:t>
            </w:r>
          </w:p>
          <w:p>
            <w:pPr>
              <w:pStyle w:val="ListBullet"/>
              <w:spacing w:after="20"/>
              <w:ind w:left="198" w:hanging="170"/>
            </w:pPr>
            <w:r>
              <w:rPr>
                <w:b w:val="0"/>
                <w:i w:val="0"/>
                <w:sz w:val="15"/>
              </w:rPr>
              <w:t>Determinan la relación entre los recursos no lingüísticos, lingüísticos y de persuasión empleados en los textos de los medios de comunicación, con los efectos que podrían provocar sobre los lectores y el propósito que persiguen.</w:t>
            </w:r>
          </w:p>
          <w:p>
            <w:pPr>
              <w:pStyle w:val="ListBullet"/>
              <w:spacing w:after="20"/>
              <w:ind w:left="198" w:hanging="170"/>
            </w:pPr>
            <w:r>
              <w:rPr>
                <w:b w:val="0"/>
                <w:i w:val="0"/>
                <w:sz w:val="15"/>
              </w:rPr>
              <w:t>Evalúan críticamente distintos textos de medios de comunicación, a partir del análisis de sus propósitos, la relación texto-lector, las estrategias de persuasión empleadas, los recursos lingüísticos y no lingüísticos, y el uso de la información.</w:t>
            </w:r>
          </w:p>
          <w:p>
            <w:r>
              <w:rPr>
                <w:b/>
                <w:i w:val="0"/>
                <w:sz w:val="15"/>
              </w:rPr>
              <w:t>Evaluación 2 (OA 10, OA 22) · pág. 186</w:t>
            </w:r>
          </w:p>
          <w:p>
            <w:pPr>
              <w:pStyle w:val="ListBullet"/>
              <w:spacing w:after="20"/>
              <w:ind w:left="198" w:hanging="170"/>
            </w:pPr>
            <w:r>
              <w:rPr>
                <w:b w:val="0"/>
                <w:i w:val="0"/>
                <w:sz w:val="15"/>
              </w:rPr>
              <w:t>Determinan la relación entre los recursos no lingüísticos, lingüísticos y de persuasión empleados en los textos de los medios de comunicación, con los efectos que podrían provocar sobre los lectores y el propósito que persiguen.</w:t>
            </w:r>
          </w:p>
          <w:p>
            <w:pPr>
              <w:pStyle w:val="ListBullet"/>
              <w:spacing w:after="20"/>
              <w:ind w:left="198" w:hanging="170"/>
            </w:pPr>
            <w:r>
              <w:rPr>
                <w:b w:val="0"/>
                <w:i w:val="0"/>
                <w:sz w:val="15"/>
              </w:rPr>
              <w:t>Evalúan críticamente distintos textos de medios de comunicación, a partir del análisis de sus propósitos, la relación texto-lector, las estrategias de persuasión empleadas, recursos lingüísticos y no lingüísticos, y manejo de la información.</w:t>
            </w:r>
          </w:p>
          <w:p>
            <w:pPr>
              <w:pStyle w:val="ListBullet"/>
              <w:spacing w:after="20"/>
              <w:ind w:left="198" w:hanging="170"/>
            </w:pPr>
            <w:r>
              <w:rPr>
                <w:b w:val="0"/>
                <w:i w:val="0"/>
                <w:sz w:val="15"/>
              </w:rPr>
              <w:t>Desarrollan oralmente sus ideas, proporcionando información suficiente y relacionada con el tema y propósito comunicativo.</w:t>
            </w:r>
          </w:p>
          <w:p>
            <w:pPr>
              <w:pStyle w:val="ListBullet"/>
              <w:spacing w:after="20"/>
              <w:ind w:left="198" w:hanging="170"/>
            </w:pPr>
            <w:r>
              <w:rPr>
                <w:b w:val="0"/>
                <w:i w:val="0"/>
                <w:sz w:val="15"/>
              </w:rPr>
              <w:t>Emplean vocabulario preciso y relacionado con el tema, y conectores para relacionar sus ideas.</w:t>
            </w:r>
          </w:p>
          <w:p>
            <w:pPr>
              <w:pStyle w:val="ListBullet"/>
              <w:spacing w:after="20"/>
              <w:ind w:left="198" w:hanging="170"/>
            </w:pPr>
            <w:r>
              <w:rPr>
                <w:b w:val="0"/>
                <w:i w:val="0"/>
                <w:sz w:val="15"/>
              </w:rPr>
              <w:t>Usan en sus exposiciones material visual relacionado con el tema de sus discursos orales.</w:t>
            </w:r>
          </w:p>
          <w:p>
            <w:pPr>
              <w:pStyle w:val="ListBullet"/>
              <w:spacing w:after="20"/>
              <w:ind w:left="198" w:hanging="170"/>
            </w:pPr>
            <w:r>
              <w:rPr>
                <w:b w:val="0"/>
                <w:i w:val="0"/>
                <w:sz w:val="15"/>
              </w:rPr>
              <w:t>Evalúan sus discursos orales a partir de criterios discursivos y formales establecidos previamente.</w:t>
            </w:r>
          </w:p>
        </w:tc>
        <w:tc>
          <w:tcPr>
            <w:tcW w:type="dxa" w:w="1474"/>
          </w:tcPr>
          <w:p>
            <w:r/>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reportajes y entrevistas sobre el trabajo con pauta; coevaluación de un texto informativo.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Análisis comparativo de medios digitales En el marco de la actividad 8, Análisis comparativo de medios digitales, la rúbrica propuesta a continuación permite retroalimentar las presentaciones de las y los estudiantes sobre los medios analizados en internet, de manera que puedan tener información respecto de aquellos aspectos que están haciendo adecuadamente y de otros que necesitan mejorar. (pág. 184)</w:t>
            </w:r>
          </w:p>
          <w:p>
            <w:pPr>
              <w:pStyle w:val="ListBullet"/>
              <w:spacing w:after="20"/>
              <w:ind w:left="198" w:hanging="170"/>
            </w:pPr>
            <w:r>
              <w:rPr>
                <w:b/>
                <w:i w:val="0"/>
                <w:sz w:val="15"/>
              </w:rPr>
              <w:t xml:space="preserve">Evaluación 2: </w:t>
            </w:r>
            <w:r>
              <w:rPr>
                <w:b w:val="0"/>
                <w:i w:val="0"/>
                <w:sz w:val="15"/>
              </w:rPr>
              <w:t>Realización de un reportaje audiovisual Con el objetivo de evaluar la realización del reportaje audiovisual de los grupos de trabajo, se sugiere emplear la siguiente rúbrica de evaluación. (pág. 186)</w:t>
            </w:r>
          </w:p>
        </w:tc>
        <w:tc>
          <w:tcPr>
            <w:tcW w:type="dxa" w:w="1247"/>
          </w:tcPr>
          <w:p>
            <w:r/>
            <w:r>
              <w:rPr>
                <w:b/>
                <w:i/>
                <w:color w:val="595959"/>
                <w:sz w:val="15"/>
              </w:rPr>
              <w:t xml:space="preserve">Sugerencia — revisar: </w:t>
            </w:r>
            <w:r>
              <w:rPr>
                <w:b w:val="0"/>
                <w:i/>
                <w:color w:val="595959"/>
                <w:sz w:val="15"/>
              </w:rPr>
              <w:t>Reportajes, entrevistas y documentales sobre el mundo laboral; medios regionales.</w:t>
            </w:r>
          </w:p>
        </w:tc>
      </w:tr>
      <w:tr>
        <w:tc>
          <w:tcPr>
            <w:tcW w:type="dxa" w:w="1757"/>
          </w:tcPr>
          <w:p>
            <w:r/>
            <w:r>
              <w:rPr>
                <w:b/>
                <w:i w:val="0"/>
                <w:sz w:val="16"/>
              </w:rPr>
              <w:t>Unidad 3</w:t>
            </w:r>
          </w:p>
          <w:p>
            <w:r>
              <w:rPr>
                <w:b/>
                <w:i w:val="0"/>
                <w:sz w:val="16"/>
              </w:rPr>
              <w:t>Lo divino y lo humano (género lírico)</w:t>
            </w:r>
          </w:p>
          <w:p>
            <w:r>
              <w:rPr>
                <w:b w:val="0"/>
                <w:i w:val="0"/>
                <w:sz w:val="15"/>
              </w:rPr>
              <w:t>El tema central de esta unidad trata sobre lo divino y lo humano, que se aborda a través de la poesía del Siglo de Oro y las vinculaciones que se pueden establecer con manifestaciones culturales de otras épocas, como el siglo XX y la actualidad.</w:t>
            </w:r>
          </w:p>
          <w:p>
            <w:r>
              <w:rPr>
                <w:b w:val="0"/>
                <w:i w:val="0"/>
                <w:color w:val="595959"/>
                <w:sz w:val="14"/>
              </w:rPr>
              <w:t>Programa, págs. 190–223</w:t>
            </w:r>
          </w:p>
        </w:tc>
        <w:tc>
          <w:tcPr>
            <w:tcW w:type="dxa" w:w="1134"/>
          </w:tcPr>
          <w:p>
            <w:r/>
            <w:r>
              <w:rPr>
                <w:b/>
                <w:i w:val="0"/>
                <w:sz w:val="15"/>
              </w:rPr>
              <w:t>Semestre 2</w:t>
            </w:r>
          </w:p>
          <w:p>
            <w:r>
              <w:rPr>
                <w:b w:val="0"/>
                <w:i w:val="0"/>
                <w:sz w:val="15"/>
              </w:rPr>
              <w:t>40 h pedagógicas</w:t>
            </w:r>
          </w:p>
          <w:p>
            <w:r>
              <w:rPr>
                <w:b w:val="0"/>
                <w:i w:val="0"/>
                <w:color w:val="595959"/>
                <w:sz w:val="15"/>
              </w:rPr>
              <w:t>Semanas 20 a 29</w:t>
            </w:r>
          </w:p>
        </w:tc>
        <w:tc>
          <w:tcPr>
            <w:tcW w:type="dxa" w:w="1134"/>
          </w:tcPr>
          <w:p>
            <w:r/>
            <w:r>
              <w:rPr>
                <w:b/>
                <w:i w:val="0"/>
                <w:sz w:val="15"/>
              </w:rPr>
              <w:t>OA 1, OA 2, OA 4, OA 6, OA 8, OA 9, OA 11, OA 12, OA 13, OA 14, OA 15, OA 18, OA 19, OA 21, OA 22, OA 23, OA 24</w:t>
            </w:r>
          </w:p>
          <w:p>
            <w:r>
              <w:rPr>
                <w:b w:val="0"/>
                <w:i w:val="0"/>
                <w:color w:val="595959"/>
                <w:sz w:val="14"/>
              </w:rPr>
              <w:t>(texto en Anexo G)</w:t>
            </w:r>
          </w:p>
          <w:p>
            <w:r>
              <w:rPr>
                <w:b w:val="0"/>
                <w:i w:val="0"/>
                <w:sz w:val="14"/>
              </w:rPr>
              <w:t>Evaluados en los ejemplos del Programa:</w:t>
            </w:r>
          </w:p>
          <w:p>
            <w:r>
              <w:rPr>
                <w:b/>
                <w:i w:val="0"/>
                <w:sz w:val="15"/>
              </w:rPr>
              <w:t>OA 2, OA 4, OA 14, OA 15, OA 22</w:t>
            </w:r>
          </w:p>
        </w:tc>
        <w:tc>
          <w:tcPr>
            <w:tcW w:type="dxa" w:w="2438"/>
          </w:tcPr>
          <w:p>
            <w:r/>
            <w:r>
              <w:rPr>
                <w:b/>
                <w:i w:val="0"/>
                <w:sz w:val="15"/>
              </w:rPr>
              <w:t>Habilidades</w:t>
            </w:r>
          </w:p>
          <w:p>
            <w:pPr>
              <w:pStyle w:val="ListBullet"/>
              <w:spacing w:after="20"/>
              <w:ind w:left="198" w:hanging="170"/>
            </w:pPr>
            <w:r>
              <w:rPr>
                <w:b w:val="0"/>
                <w:i w:val="0"/>
                <w:sz w:val="15"/>
              </w:rPr>
              <w:t>Analizar poemas.</w:t>
            </w:r>
          </w:p>
          <w:p>
            <w:pPr>
              <w:pStyle w:val="ListBullet"/>
              <w:spacing w:after="20"/>
              <w:ind w:left="198" w:hanging="170"/>
            </w:pPr>
            <w:r>
              <w:rPr>
                <w:b w:val="0"/>
                <w:i w:val="0"/>
                <w:sz w:val="15"/>
              </w:rPr>
              <w:t>Interpretar lenguaje figurado.</w:t>
            </w:r>
          </w:p>
          <w:p>
            <w:pPr>
              <w:pStyle w:val="ListBullet"/>
              <w:spacing w:after="20"/>
              <w:ind w:left="198" w:hanging="170"/>
            </w:pPr>
            <w:r>
              <w:rPr>
                <w:b w:val="0"/>
                <w:i w:val="0"/>
                <w:sz w:val="15"/>
              </w:rPr>
              <w:t>Argumentar ideas en forma oral y escrita.</w:t>
            </w:r>
          </w:p>
          <w:p>
            <w:pPr>
              <w:pStyle w:val="ListBullet"/>
              <w:spacing w:after="20"/>
              <w:ind w:left="198" w:hanging="170"/>
            </w:pPr>
            <w:r>
              <w:rPr>
                <w:b w:val="0"/>
                <w:i w:val="0"/>
                <w:sz w:val="15"/>
              </w:rPr>
              <w:t>Escribir ensayos.</w:t>
            </w:r>
          </w:p>
          <w:p>
            <w:pPr>
              <w:pStyle w:val="ListBullet"/>
              <w:spacing w:after="20"/>
              <w:ind w:left="198" w:hanging="170"/>
            </w:pPr>
            <w:r>
              <w:rPr>
                <w:b w:val="0"/>
                <w:i w:val="0"/>
                <w:sz w:val="15"/>
              </w:rPr>
              <w:t>Reflexionar a partir de la lectura de obras.</w:t>
            </w:r>
          </w:p>
        </w:tc>
        <w:tc>
          <w:tcPr>
            <w:tcW w:type="dxa" w:w="2438"/>
          </w:tcPr>
          <w:p>
            <w:r/>
            <w:r>
              <w:rPr>
                <w:b/>
                <w:i w:val="0"/>
                <w:sz w:val="15"/>
              </w:rPr>
              <w:t>Conocimientos</w:t>
            </w:r>
          </w:p>
          <w:p>
            <w:pPr>
              <w:pStyle w:val="ListBullet"/>
              <w:spacing w:after="20"/>
              <w:ind w:left="198" w:hanging="170"/>
            </w:pPr>
            <w:r>
              <w:rPr>
                <w:b w:val="0"/>
                <w:i w:val="0"/>
                <w:sz w:val="15"/>
              </w:rPr>
              <w:t>Poesía del Siglo de Oro.</w:t>
            </w:r>
          </w:p>
          <w:p>
            <w:pPr>
              <w:pStyle w:val="ListBullet"/>
              <w:spacing w:after="20"/>
              <w:ind w:left="198" w:hanging="170"/>
            </w:pPr>
            <w:r>
              <w:rPr>
                <w:b w:val="0"/>
                <w:i w:val="0"/>
                <w:sz w:val="15"/>
              </w:rPr>
              <w:t>Soneto.</w:t>
            </w:r>
          </w:p>
          <w:p>
            <w:pPr>
              <w:pStyle w:val="ListBullet"/>
              <w:spacing w:after="20"/>
              <w:ind w:left="198" w:hanging="170"/>
            </w:pPr>
            <w:r>
              <w:rPr>
                <w:b w:val="0"/>
                <w:i w:val="0"/>
                <w:sz w:val="15"/>
              </w:rPr>
              <w:t>Actitudes líricas.</w:t>
            </w:r>
          </w:p>
          <w:p>
            <w:pPr>
              <w:pStyle w:val="ListBullet"/>
              <w:spacing w:after="20"/>
              <w:ind w:left="198" w:hanging="170"/>
            </w:pPr>
            <w:r>
              <w:rPr>
                <w:b w:val="0"/>
                <w:i w:val="0"/>
                <w:sz w:val="15"/>
              </w:rPr>
              <w:t>Poesía popular.</w:t>
            </w:r>
          </w:p>
          <w:p>
            <w:r>
              <w:rPr>
                <w:b/>
                <w:i w:val="0"/>
                <w:sz w:val="15"/>
              </w:rPr>
              <w:t>Palabras clave</w:t>
            </w:r>
          </w:p>
          <w:p>
            <w:pPr>
              <w:pStyle w:val="ListBullet"/>
              <w:spacing w:after="20"/>
              <w:ind w:left="198" w:hanging="170"/>
            </w:pPr>
            <w:r>
              <w:rPr>
                <w:b w:val="0"/>
                <w:i w:val="0"/>
                <w:sz w:val="15"/>
              </w:rPr>
              <w:t>Siglo de Oro, ensayo, tópicos literarios, poesía popular.</w:t>
            </w:r>
          </w:p>
        </w:tc>
        <w:tc>
          <w:tcPr>
            <w:tcW w:type="dxa" w:w="3175"/>
          </w:tcPr>
          <w:p>
            <w:r/>
            <w:r>
              <w:rPr>
                <w:b/>
                <w:i w:val="0"/>
                <w:sz w:val="15"/>
              </w:rPr>
              <w:t>Evaluación 1 (OA 2, OA 4, OA 22) · pág. 216</w:t>
            </w:r>
          </w:p>
          <w:p>
            <w:pPr>
              <w:pStyle w:val="ListBullet"/>
              <w:spacing w:after="20"/>
              <w:ind w:left="198" w:hanging="170"/>
            </w:pPr>
            <w:r>
              <w:rPr>
                <w:b w:val="0"/>
                <w:i w:val="0"/>
                <w:sz w:val="15"/>
              </w:rPr>
              <w:t>Relacionan los temas humanos planteados en las obras vistas o leídas con sus experiencias o contextos personales.</w:t>
            </w:r>
          </w:p>
          <w:p>
            <w:pPr>
              <w:pStyle w:val="ListBullet"/>
              <w:spacing w:after="20"/>
              <w:ind w:left="198" w:hanging="170"/>
            </w:pPr>
            <w:r>
              <w:rPr>
                <w:b w:val="0"/>
                <w:i w:val="0"/>
                <w:sz w:val="15"/>
              </w:rPr>
              <w:t>Interpretan cómo los temas humanos se representan en los mundos creados en las obras leídas.</w:t>
            </w:r>
          </w:p>
          <w:p>
            <w:pPr>
              <w:pStyle w:val="ListBullet"/>
              <w:spacing w:after="20"/>
              <w:ind w:left="198" w:hanging="170"/>
            </w:pPr>
            <w:r>
              <w:rPr>
                <w:b w:val="0"/>
                <w:i w:val="0"/>
                <w:sz w:val="15"/>
              </w:rPr>
              <w:t>Reflexionan sobre las visiones de mundo en torno a temas humanos presentes en distintos textos leídos.</w:t>
            </w:r>
          </w:p>
          <w:p>
            <w:pPr>
              <w:pStyle w:val="ListBullet"/>
              <w:spacing w:after="20"/>
              <w:ind w:left="198" w:hanging="170"/>
            </w:pPr>
            <w:r>
              <w:rPr>
                <w:b w:val="0"/>
                <w:i w:val="0"/>
                <w:sz w:val="15"/>
              </w:rPr>
              <w:t>Interpretan el sentido de los poemas leídos a partir del lenguaje poético, de los recursos estilísticos de los textos y de las características del género poético.</w:t>
            </w:r>
          </w:p>
          <w:p>
            <w:pPr>
              <w:pStyle w:val="ListBullet"/>
              <w:spacing w:after="20"/>
              <w:ind w:left="198" w:hanging="170"/>
            </w:pPr>
            <w:r>
              <w:rPr>
                <w:b w:val="0"/>
                <w:i w:val="0"/>
                <w:sz w:val="15"/>
              </w:rPr>
              <w:t>Determinan el sentido de las relaciones intertextuales establecidas en los poemas.</w:t>
            </w:r>
          </w:p>
          <w:p>
            <w:pPr>
              <w:pStyle w:val="ListBullet"/>
              <w:spacing w:after="20"/>
              <w:ind w:left="198" w:hanging="170"/>
            </w:pPr>
            <w:r>
              <w:rPr>
                <w:b w:val="0"/>
                <w:i w:val="0"/>
                <w:sz w:val="15"/>
              </w:rPr>
              <w:t>Desarrollan oralmente sus ideas, proporcionando información suficiente y relacionada con el tema y propósito comunicativo.</w:t>
            </w:r>
          </w:p>
          <w:p>
            <w:pPr>
              <w:pStyle w:val="ListBullet"/>
              <w:spacing w:after="20"/>
              <w:ind w:left="198" w:hanging="170"/>
            </w:pPr>
            <w:r>
              <w:rPr>
                <w:b w:val="0"/>
                <w:i w:val="0"/>
                <w:sz w:val="15"/>
              </w:rPr>
              <w:t>Emplean vocabulario preciso y relacionado con el tema, y conectores para relacionar sus ideas.</w:t>
            </w:r>
          </w:p>
          <w:p>
            <w:pPr>
              <w:pStyle w:val="ListBullet"/>
              <w:spacing w:after="20"/>
              <w:ind w:left="198" w:hanging="170"/>
            </w:pPr>
            <w:r>
              <w:rPr>
                <w:b w:val="0"/>
                <w:i w:val="0"/>
                <w:sz w:val="15"/>
              </w:rPr>
              <w:t>Usan en sus exposiciones material visual relacionado con el tema de sus discursos orales.</w:t>
            </w:r>
          </w:p>
          <w:p>
            <w:pPr>
              <w:pStyle w:val="ListBullet"/>
              <w:spacing w:after="20"/>
              <w:ind w:left="198" w:hanging="170"/>
            </w:pPr>
            <w:r>
              <w:rPr>
                <w:b w:val="0"/>
                <w:i w:val="0"/>
                <w:sz w:val="15"/>
              </w:rPr>
              <w:t>Evalúan sus discursos orales a partir de criterios discursivos y formales establecidos previamente.</w:t>
            </w:r>
          </w:p>
          <w:p>
            <w:r>
              <w:rPr>
                <w:b/>
                <w:i w:val="0"/>
                <w:sz w:val="15"/>
              </w:rPr>
              <w:t>Evaluación 2 (OA 15, OA 14) · pág. 220</w:t>
            </w:r>
          </w:p>
          <w:p>
            <w:pPr>
              <w:pStyle w:val="ListBullet"/>
              <w:spacing w:after="20"/>
              <w:ind w:left="198" w:hanging="170"/>
            </w:pPr>
            <w:r>
              <w:rPr>
                <w:b w:val="0"/>
                <w:i w:val="0"/>
                <w:sz w:val="15"/>
              </w:rPr>
              <w:t>Organizan las ideas que presentarán en sus textos empleando herramientas y recursos pertinentes a la situación comunicativa y características del texto.</w:t>
            </w:r>
          </w:p>
          <w:p>
            <w:pPr>
              <w:pStyle w:val="ListBullet"/>
              <w:spacing w:after="20"/>
              <w:ind w:left="198" w:hanging="170"/>
            </w:pPr>
            <w:r>
              <w:rPr>
                <w:b w:val="0"/>
                <w:i w:val="0"/>
                <w:sz w:val="15"/>
              </w:rPr>
              <w:t>Evalúan la adecuación de sus borradores conforme a criterios discursivos, formales y comunicativos.</w:t>
            </w:r>
          </w:p>
          <w:p>
            <w:pPr>
              <w:pStyle w:val="ListBullet"/>
              <w:spacing w:after="20"/>
              <w:ind w:left="198" w:hanging="170"/>
            </w:pPr>
            <w:r>
              <w:rPr>
                <w:b w:val="0"/>
                <w:i w:val="0"/>
                <w:sz w:val="15"/>
              </w:rPr>
              <w:t>Aplican distintas estrategias para revisar y editar sus textos, en función de criterios discursivos y formales, y de los desafíos implicados en la tarea de escritura.</w:t>
            </w:r>
          </w:p>
          <w:p>
            <w:pPr>
              <w:pStyle w:val="ListBullet"/>
              <w:spacing w:after="20"/>
              <w:ind w:left="198" w:hanging="170"/>
            </w:pPr>
            <w:r>
              <w:rPr>
                <w:b w:val="0"/>
                <w:i w:val="0"/>
                <w:sz w:val="15"/>
              </w:rPr>
              <w:t>Organizan sus ideas de acuerdo con las características de géneros discursivos que tienen como propósito persuadir.</w:t>
            </w:r>
          </w:p>
          <w:p>
            <w:pPr>
              <w:pStyle w:val="ListBullet"/>
              <w:spacing w:after="20"/>
              <w:ind w:left="198" w:hanging="170"/>
            </w:pPr>
            <w:r>
              <w:rPr>
                <w:b w:val="0"/>
                <w:i w:val="0"/>
                <w:sz w:val="15"/>
              </w:rPr>
              <w:t>Presentan las ideas de sus textos de manera coherente a nivel local y global, evitando digresiones e ideas contradictorias y manteniendo el tema.</w:t>
            </w:r>
          </w:p>
          <w:p>
            <w:pPr>
              <w:pStyle w:val="ListBullet"/>
              <w:spacing w:after="20"/>
              <w:ind w:left="198" w:hanging="170"/>
            </w:pPr>
            <w:r>
              <w:rPr>
                <w:b w:val="0"/>
                <w:i w:val="0"/>
                <w:sz w:val="15"/>
              </w:rPr>
              <w:t>Desarrollan sus argumentos incorporando diversos recursos discursivos y formales, y referencias de acuerdo al propósito comunicativo de sus textos.</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G: </w:t>
            </w:r>
            <w:r>
              <w:rPr>
                <w:b w:val="0"/>
                <w:i w:val="0"/>
                <w:sz w:val="15"/>
              </w:rPr>
              <w:t>Realizar tareas y trabajos de forma rigurosa y perseverante, entendiendo que los logros se obtienen solo después de un trabajo prolongado.</w:t>
            </w:r>
          </w:p>
          <w:p>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en voz alta y análisis de recursos poéticos en parejas; tickets de salida.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Lectura y análisis de poemas del Siglo de Oro Como cierre de la actividad 2, Lectura y análisis de poemas del Siglo de Oro español, y como una posibilidad para evaluarla, el o la docente organiza una presentación oral de los resultados del análisis literario que hicieron los y las estudiantes, siguiendo un proceso que incluye una planificación de lo que se dirá, la preparación del material para presentar (que debiera considerar como mínimo el texto analizado), el ensayo previo a la presentación, finalizando con una evaluación efectuada por los pares y/o por el o la docente. (pág. 216)</w:t>
            </w:r>
          </w:p>
          <w:p>
            <w:pPr>
              <w:pStyle w:val="ListBullet"/>
              <w:spacing w:after="20"/>
              <w:ind w:left="198" w:hanging="170"/>
            </w:pPr>
            <w:r>
              <w:rPr>
                <w:b/>
                <w:i w:val="0"/>
                <w:sz w:val="15"/>
              </w:rPr>
              <w:t xml:space="preserve">Evaluación 2: </w:t>
            </w:r>
            <w:r>
              <w:rPr>
                <w:b w:val="0"/>
                <w:i w:val="0"/>
                <w:sz w:val="15"/>
              </w:rPr>
              <w:t>Escritura de ensayo sobre el Siglo de Oro y poesía popular chilena En el marco de la actividad 6, Escritura de ensayo sobre Siglo de Oro y poesía popular chilena, y otras similares en las que esté involucrada la escritura de textos argumentativos, se propone la siguiente rúbrica para evaluar los trabajos de los y las estudiantes. (pág. 220)</w:t>
            </w:r>
          </w:p>
        </w:tc>
        <w:tc>
          <w:tcPr>
            <w:tcW w:type="dxa" w:w="1247"/>
          </w:tcPr>
          <w:p>
            <w:r/>
            <w:r>
              <w:rPr>
                <w:b/>
                <w:i/>
                <w:color w:val="595959"/>
                <w:sz w:val="15"/>
              </w:rPr>
              <w:t xml:space="preserve">Sugerencia — revisar: </w:t>
            </w:r>
            <w:r>
              <w:rPr>
                <w:b w:val="0"/>
                <w:i/>
                <w:color w:val="595959"/>
                <w:sz w:val="15"/>
              </w:rPr>
              <w:t>Antología de poesía del Siglo de Oro y poesía contemporánea; grabaciones de recitales.</w:t>
            </w:r>
          </w:p>
        </w:tc>
      </w:tr>
      <w:tr>
        <w:tc>
          <w:tcPr>
            <w:tcW w:type="dxa" w:w="1757"/>
          </w:tcPr>
          <w:p>
            <w:r/>
            <w:r>
              <w:rPr>
                <w:b/>
                <w:i w:val="0"/>
                <w:sz w:val="16"/>
              </w:rPr>
              <w:t>Unidad 4</w:t>
            </w:r>
          </w:p>
          <w:p>
            <w:r>
              <w:rPr>
                <w:b/>
                <w:i w:val="0"/>
                <w:sz w:val="16"/>
              </w:rPr>
              <w:t>Poder y ambición (género dramático)</w:t>
            </w:r>
          </w:p>
          <w:p>
            <w:r>
              <w:rPr>
                <w:b w:val="0"/>
                <w:i w:val="0"/>
                <w:sz w:val="15"/>
              </w:rPr>
              <w:t>En esta unidad, se busca que los y las estudiantes analicen, interpreten y comenten críticamente diversas obras literarias, con especial énfasis en el género dramático.</w:t>
            </w:r>
          </w:p>
          <w:p>
            <w:r>
              <w:rPr>
                <w:b w:val="0"/>
                <w:i w:val="0"/>
                <w:color w:val="595959"/>
                <w:sz w:val="14"/>
              </w:rPr>
              <w:t>Programa, págs. 224–272</w:t>
            </w:r>
          </w:p>
        </w:tc>
        <w:tc>
          <w:tcPr>
            <w:tcW w:type="dxa" w:w="1134"/>
          </w:tcPr>
          <w:p>
            <w:r/>
            <w:r>
              <w:rPr>
                <w:b/>
                <w:i w:val="0"/>
                <w:sz w:val="15"/>
              </w:rPr>
              <w:t>Semestre 2</w:t>
            </w:r>
          </w:p>
          <w:p>
            <w:r>
              <w:rPr>
                <w:b w:val="0"/>
                <w:i w:val="0"/>
                <w:sz w:val="15"/>
              </w:rPr>
              <w:t>40 h pedagógicas</w:t>
            </w:r>
          </w:p>
          <w:p>
            <w:r>
              <w:rPr>
                <w:b w:val="0"/>
                <w:i w:val="0"/>
                <w:color w:val="595959"/>
                <w:sz w:val="15"/>
              </w:rPr>
              <w:t>Semanas 30 a 38</w:t>
            </w:r>
          </w:p>
        </w:tc>
        <w:tc>
          <w:tcPr>
            <w:tcW w:type="dxa" w:w="1134"/>
          </w:tcPr>
          <w:p>
            <w:r/>
            <w:r>
              <w:rPr>
                <w:b/>
                <w:i w:val="0"/>
                <w:sz w:val="15"/>
              </w:rPr>
              <w:t>OA 1, OA 2, OA 3, OA 5, OA 6, OA 8, OA 9, OA 11, OA 12, OA 14, OA 15, OA 18, OA 19, OA 20, OA 21, OA 22, OA 23, OA 24</w:t>
            </w:r>
          </w:p>
          <w:p>
            <w:r>
              <w:rPr>
                <w:b w:val="0"/>
                <w:i w:val="0"/>
                <w:color w:val="595959"/>
                <w:sz w:val="14"/>
              </w:rPr>
              <w:t>(texto en Anexo G)</w:t>
            </w:r>
          </w:p>
          <w:p>
            <w:r>
              <w:rPr>
                <w:b w:val="0"/>
                <w:i w:val="0"/>
                <w:sz w:val="14"/>
              </w:rPr>
              <w:t>Evaluados en los ejemplos del Programa:</w:t>
            </w:r>
          </w:p>
          <w:p>
            <w:r>
              <w:rPr>
                <w:b/>
                <w:i w:val="0"/>
                <w:sz w:val="15"/>
              </w:rPr>
              <w:t>OA 8, OA 12, OA 20, OA 21</w:t>
            </w:r>
          </w:p>
        </w:tc>
        <w:tc>
          <w:tcPr>
            <w:tcW w:type="dxa" w:w="2438"/>
          </w:tcPr>
          <w:p>
            <w:r/>
            <w:r>
              <w:rPr>
                <w:b/>
                <w:i w:val="0"/>
                <w:sz w:val="15"/>
              </w:rPr>
              <w:t>Habilidades</w:t>
            </w:r>
          </w:p>
          <w:p>
            <w:pPr>
              <w:pStyle w:val="ListBullet"/>
              <w:spacing w:after="20"/>
              <w:ind w:left="198" w:hanging="170"/>
            </w:pPr>
            <w:r>
              <w:rPr>
                <w:b w:val="0"/>
                <w:i w:val="0"/>
                <w:sz w:val="15"/>
              </w:rPr>
              <w:t>Reflexionar a partir de la lectura de obras literarias.</w:t>
            </w:r>
          </w:p>
          <w:p>
            <w:pPr>
              <w:pStyle w:val="ListBullet"/>
              <w:spacing w:after="20"/>
              <w:ind w:left="198" w:hanging="170"/>
            </w:pPr>
            <w:r>
              <w:rPr>
                <w:b w:val="0"/>
                <w:i w:val="0"/>
                <w:sz w:val="15"/>
              </w:rPr>
              <w:t>Interpretar críticamente textos dramáticos.</w:t>
            </w:r>
          </w:p>
          <w:p>
            <w:pPr>
              <w:pStyle w:val="ListBullet"/>
              <w:spacing w:after="20"/>
              <w:ind w:left="198" w:hanging="170"/>
            </w:pPr>
            <w:r>
              <w:rPr>
                <w:b w:val="0"/>
                <w:i w:val="0"/>
                <w:sz w:val="15"/>
              </w:rPr>
              <w:t>Escribir con distintos propósitos.</w:t>
            </w:r>
          </w:p>
          <w:p>
            <w:pPr>
              <w:pStyle w:val="ListBullet"/>
              <w:spacing w:after="20"/>
              <w:ind w:left="198" w:hanging="170"/>
            </w:pPr>
            <w:r>
              <w:rPr>
                <w:b w:val="0"/>
                <w:i w:val="0"/>
                <w:sz w:val="15"/>
              </w:rPr>
              <w:t>Analizar los efectos del uso de elementos lingüísticos, paralingüísticos y no lingüísticos.</w:t>
            </w:r>
          </w:p>
        </w:tc>
        <w:tc>
          <w:tcPr>
            <w:tcW w:type="dxa" w:w="2438"/>
          </w:tcPr>
          <w:p>
            <w:r/>
            <w:r>
              <w:rPr>
                <w:b/>
                <w:i w:val="0"/>
                <w:sz w:val="15"/>
              </w:rPr>
              <w:t>Conocimientos</w:t>
            </w:r>
          </w:p>
          <w:p>
            <w:pPr>
              <w:pStyle w:val="ListBullet"/>
              <w:spacing w:after="20"/>
              <w:ind w:left="198" w:hanging="170"/>
            </w:pPr>
            <w:r>
              <w:rPr>
                <w:b w:val="0"/>
                <w:i w:val="0"/>
                <w:sz w:val="15"/>
              </w:rPr>
              <w:t>Texto dramático.</w:t>
            </w:r>
          </w:p>
          <w:p>
            <w:pPr>
              <w:pStyle w:val="ListBullet"/>
              <w:spacing w:after="20"/>
              <w:ind w:left="198" w:hanging="170"/>
            </w:pPr>
            <w:r>
              <w:rPr>
                <w:b w:val="0"/>
                <w:i w:val="0"/>
                <w:sz w:val="15"/>
              </w:rPr>
              <w:t>Textos narrativos (diversos géneros).</w:t>
            </w:r>
          </w:p>
          <w:p>
            <w:pPr>
              <w:pStyle w:val="ListBullet"/>
              <w:spacing w:after="20"/>
              <w:ind w:left="198" w:hanging="170"/>
            </w:pPr>
            <w:r>
              <w:rPr>
                <w:b w:val="0"/>
                <w:i w:val="0"/>
                <w:sz w:val="15"/>
              </w:rPr>
              <w:t>Lenguaje verbal y no verbal.</w:t>
            </w:r>
          </w:p>
          <w:p>
            <w:pPr>
              <w:pStyle w:val="ListBullet"/>
              <w:spacing w:after="20"/>
              <w:ind w:left="198" w:hanging="170"/>
            </w:pPr>
            <w:r>
              <w:rPr>
                <w:b w:val="0"/>
                <w:i w:val="0"/>
                <w:sz w:val="15"/>
              </w:rPr>
              <w:t>Estilo directo e indirecto.</w:t>
            </w:r>
          </w:p>
          <w:p>
            <w:pPr>
              <w:pStyle w:val="ListBullet"/>
              <w:spacing w:after="20"/>
              <w:ind w:left="198" w:hanging="170"/>
            </w:pPr>
            <w:r>
              <w:rPr>
                <w:b w:val="0"/>
                <w:i w:val="0"/>
                <w:sz w:val="15"/>
              </w:rPr>
              <w:t>Representación teatral.</w:t>
            </w:r>
          </w:p>
          <w:p>
            <w:pPr>
              <w:pStyle w:val="ListBullet"/>
              <w:spacing w:after="20"/>
              <w:ind w:left="198" w:hanging="170"/>
            </w:pPr>
            <w:r>
              <w:rPr>
                <w:b w:val="0"/>
                <w:i w:val="0"/>
                <w:sz w:val="15"/>
              </w:rPr>
              <w:t>Debate.</w:t>
            </w:r>
          </w:p>
          <w:p>
            <w:r>
              <w:rPr>
                <w:b/>
                <w:i w:val="0"/>
                <w:sz w:val="15"/>
              </w:rPr>
              <w:t>Palabras clave</w:t>
            </w:r>
          </w:p>
          <w:p>
            <w:pPr>
              <w:pStyle w:val="ListBullet"/>
              <w:spacing w:after="20"/>
              <w:ind w:left="198" w:hanging="170"/>
            </w:pPr>
            <w:r>
              <w:rPr>
                <w:b w:val="0"/>
                <w:i w:val="0"/>
                <w:sz w:val="15"/>
              </w:rPr>
              <w:t>Obras dramáticas, representación, poder, ambición.</w:t>
            </w:r>
          </w:p>
        </w:tc>
        <w:tc>
          <w:tcPr>
            <w:tcW w:type="dxa" w:w="3175"/>
          </w:tcPr>
          <w:p>
            <w:r/>
            <w:r>
              <w:rPr>
                <w:b/>
                <w:i w:val="0"/>
                <w:sz w:val="15"/>
              </w:rPr>
              <w:t>Evaluación 1 (OA 12, OA 8) · pág. 267</w:t>
            </w:r>
          </w:p>
          <w:p>
            <w:pPr>
              <w:pStyle w:val="ListBullet"/>
              <w:spacing w:after="20"/>
              <w:ind w:left="198" w:hanging="170"/>
            </w:pPr>
            <w:r>
              <w:rPr>
                <w:b w:val="0"/>
                <w:i w:val="0"/>
                <w:sz w:val="15"/>
              </w:rPr>
              <w:t>Determinan el género discursivo adecuado para comunicar sus ideas, considerando el propósito comunicativo, el destinatario y la situación comunicativa.</w:t>
            </w:r>
          </w:p>
          <w:p>
            <w:pPr>
              <w:pStyle w:val="ListBullet"/>
              <w:spacing w:after="20"/>
              <w:ind w:left="198" w:hanging="170"/>
            </w:pPr>
            <w:r>
              <w:rPr>
                <w:b w:val="0"/>
                <w:i w:val="0"/>
                <w:sz w:val="15"/>
              </w:rPr>
              <w:t>Determinan las características que debe tener su discurso para responder a la situación comunicativa, al propósito y al lector.</w:t>
            </w:r>
          </w:p>
          <w:p>
            <w:pPr>
              <w:pStyle w:val="ListBullet"/>
              <w:spacing w:after="20"/>
              <w:ind w:left="198" w:hanging="170"/>
            </w:pPr>
            <w:r>
              <w:rPr>
                <w:b w:val="0"/>
                <w:i w:val="0"/>
                <w:sz w:val="15"/>
              </w:rPr>
              <w:t>Evalúan sus textos de acuerdo a las características del género escogido, características del discurso, la situación comunicativa, el destinatario y el propósito de estos.</w:t>
            </w:r>
          </w:p>
          <w:p>
            <w:pPr>
              <w:pStyle w:val="ListBullet"/>
              <w:spacing w:after="20"/>
              <w:ind w:left="198" w:hanging="170"/>
            </w:pPr>
            <w:r>
              <w:rPr>
                <w:b w:val="0"/>
                <w:i w:val="0"/>
                <w:sz w:val="15"/>
              </w:rPr>
              <w:t>Interpretan los textos literarios leídos, considerando su análisis literario, la visión de mundo reflejada en ellos y las características culturales de su contexto de producción.</w:t>
            </w:r>
          </w:p>
          <w:p>
            <w:pPr>
              <w:pStyle w:val="ListBullet"/>
              <w:spacing w:after="20"/>
              <w:ind w:left="198" w:hanging="170"/>
            </w:pPr>
            <w:r>
              <w:rPr>
                <w:b w:val="0"/>
                <w:i w:val="0"/>
                <w:sz w:val="15"/>
              </w:rPr>
              <w:t>Evalúan las obras leídas o vistas, considerando criterios estéticos surgidos de su análisis literario.</w:t>
            </w:r>
          </w:p>
          <w:p>
            <w:r>
              <w:rPr>
                <w:b/>
                <w:i w:val="0"/>
                <w:sz w:val="15"/>
              </w:rPr>
              <w:t>Evaluación 2 (OA 20, OA 21) · pág. 270</w:t>
            </w:r>
          </w:p>
          <w:p>
            <w:pPr>
              <w:pStyle w:val="ListBullet"/>
              <w:spacing w:after="20"/>
              <w:ind w:left="198" w:hanging="170"/>
            </w:pPr>
            <w:r>
              <w:rPr>
                <w:b w:val="0"/>
                <w:i w:val="0"/>
                <w:sz w:val="15"/>
              </w:rPr>
              <w:t>Evalúan los recursos discursivos (coherencia, uso del vocabulario, progresión de sus argumentos) de un emisor al plantear y fundamentar su punto de vista.</w:t>
            </w:r>
          </w:p>
          <w:p>
            <w:pPr>
              <w:pStyle w:val="ListBullet"/>
              <w:spacing w:after="20"/>
              <w:ind w:left="198" w:hanging="170"/>
            </w:pPr>
            <w:r>
              <w:rPr>
                <w:b w:val="0"/>
                <w:i w:val="0"/>
                <w:sz w:val="15"/>
              </w:rPr>
              <w:t>Determinan el punto de vista del emisor considerando el desarrollo argumentativo.</w:t>
            </w:r>
          </w:p>
          <w:p>
            <w:pPr>
              <w:pStyle w:val="ListBullet"/>
              <w:spacing w:after="20"/>
              <w:ind w:left="198" w:hanging="170"/>
            </w:pPr>
            <w:r>
              <w:rPr>
                <w:b w:val="0"/>
                <w:i w:val="0"/>
                <w:sz w:val="15"/>
              </w:rPr>
              <w:t>Desarrollan oralmente sus ideas de manera coherente, desarrollada y enfocada en el tema, adecuándose al propósito y las características de la situación comunicativa.</w:t>
            </w:r>
          </w:p>
          <w:p>
            <w:pPr>
              <w:pStyle w:val="ListBullet"/>
              <w:spacing w:after="20"/>
              <w:ind w:left="198" w:hanging="170"/>
            </w:pPr>
            <w:r>
              <w:rPr>
                <w:b w:val="0"/>
                <w:i w:val="0"/>
                <w:sz w:val="15"/>
              </w:rPr>
              <w:t>Incorporan en sus intervenciones las ideas planteadas por otros para refutarlas, ampliarlas o tomar acuerdos, conforme al propósito y características de la situación comunicativa.</w:t>
            </w:r>
          </w:p>
          <w:p>
            <w:pPr>
              <w:pStyle w:val="ListBullet"/>
              <w:spacing w:after="20"/>
              <w:ind w:left="198" w:hanging="170"/>
            </w:pPr>
            <w:r>
              <w:rPr>
                <w:b w:val="0"/>
                <w:i w:val="0"/>
                <w:sz w:val="15"/>
              </w:rPr>
              <w:t>Evalúan sus intervenciones orales conforme a criterios discursivos y de la situación comunicativa.</w:t>
            </w:r>
          </w:p>
        </w:tc>
        <w:tc>
          <w:tcPr>
            <w:tcW w:type="dxa" w:w="1474"/>
          </w:tcPr>
          <w:p>
            <w:r/>
            <w:r>
              <w:rPr>
                <w:b/>
                <w:i w:val="0"/>
                <w:sz w:val="15"/>
              </w:rPr>
              <w:t xml:space="preserve">OA B: </w:t>
            </w:r>
            <w:r>
              <w:rPr>
                <w:b w:val="0"/>
                <w:i w:val="0"/>
                <w:sz w:val="15"/>
              </w:rPr>
              <w:t>Manifestar una disposición a reflexionar sobre sí mismo y sobre las cuestiones sociales y éticas que emanan de las lecturas.</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Representación de escenas con pauta; preguntas de análisis sobre el poder y la ambición.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Elaboración de un texto dramático a partir de una novela y puesta en escena del mismo En el marco de la actividad 6 y para la evaluación de cualquier puesta en escena y/o escritura creativa de textos dramáticos, se propone la siguiente rúbrica. (pág. 267)</w:t>
            </w:r>
          </w:p>
          <w:p>
            <w:pPr>
              <w:pStyle w:val="ListBullet"/>
              <w:spacing w:after="20"/>
              <w:ind w:left="198" w:hanging="170"/>
            </w:pPr>
            <w:r>
              <w:rPr>
                <w:b/>
                <w:i w:val="0"/>
                <w:sz w:val="15"/>
              </w:rPr>
              <w:t xml:space="preserve">Evaluación 2: </w:t>
            </w:r>
            <w:r>
              <w:rPr>
                <w:b w:val="0"/>
                <w:i w:val="0"/>
                <w:sz w:val="15"/>
              </w:rPr>
              <w:t>Debate en torno al poder y la ambición Para evaluar la actividad 8, Debate en torno al poder y la ambición, se ofrece la siguiente rúbrica de evaluación. (pág. 270)</w:t>
            </w:r>
          </w:p>
        </w:tc>
        <w:tc>
          <w:tcPr>
            <w:tcW w:type="dxa" w:w="1247"/>
          </w:tcPr>
          <w:p>
            <w:r/>
            <w:r>
              <w:rPr>
                <w:b/>
                <w:i/>
                <w:color w:val="595959"/>
                <w:sz w:val="15"/>
              </w:rPr>
              <w:t xml:space="preserve">Sugerencia — revisar: </w:t>
            </w:r>
            <w:r>
              <w:rPr>
                <w:b w:val="0"/>
                <w:i/>
                <w:color w:val="595959"/>
                <w:sz w:val="15"/>
              </w:rPr>
              <w:t>Obras dramáticas (por ejemplo, tragedias clásicas); montajes filmados; espacio para dramatizar.</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Ofrecer las lecturas en formato impreso, digital y audiolibro, con guías de lectura y organizadores gráficos.</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la comprensión por escrito, oralmente o en formatos multimodales (podcast, booktrailer, infografía).</w:t>
            </w:r>
          </w:p>
          <w:p>
            <w:r>
              <w:rPr>
                <w:b/>
                <w:i w:val="0"/>
                <w:sz w:val="18"/>
              </w:rPr>
              <w:t xml:space="preserve">Múltiples formas de implicación: </w:t>
            </w:r>
            <w:r>
              <w:rPr>
                <w:b/>
                <w:i/>
                <w:color w:val="595959"/>
                <w:sz w:val="18"/>
              </w:rPr>
              <w:t xml:space="preserve">Sugerencia — revisar: </w:t>
            </w:r>
            <w:r>
              <w:rPr>
                <w:b w:val="0"/>
                <w:i/>
                <w:color w:val="595959"/>
                <w:sz w:val="18"/>
              </w:rPr>
              <w:t>Dar a elegir lecturas dentro del tema de la unidad y trabajar en grupos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68 · P 58)</w:t>
            </w:r>
          </w:p>
        </w:tc>
        <w:tc>
          <w:tcPr>
            <w:tcW w:type="dxa" w:w="14967"/>
          </w:tcPr>
          <w:p>
            <w:r>
              <w:rPr>
                <w:b w:val="0"/>
                <w:i w:val="0"/>
                <w:sz w:val="18"/>
              </w:rPr>
              <w:t>Leer habitualmente para aprender y recrearse, y seleccionar textos de acuerdo con sus preferencias y propósitos.</w:t>
            </w:r>
          </w:p>
        </w:tc>
      </w:tr>
      <w:tr>
        <w:trPr>
          <w:cantSplit/>
        </w:trPr>
        <w:tc>
          <w:tcPr>
            <w:tcW w:type="dxa" w:w="1701"/>
          </w:tcPr>
          <w:p>
            <w:r>
              <w:rPr>
                <w:b/>
                <w:i w:val="0"/>
                <w:sz w:val="18"/>
              </w:rPr>
              <w:t>OA 2</w:t>
            </w:r>
          </w:p>
          <w:p>
            <w:r>
              <w:rPr>
                <w:b w:val="0"/>
                <w:i w:val="0"/>
                <w:color w:val="595959"/>
                <w:sz w:val="14"/>
              </w:rPr>
              <w:t>(B 68 · P 58)</w:t>
            </w:r>
          </w:p>
        </w:tc>
        <w:tc>
          <w:tcPr>
            <w:tcW w:type="dxa" w:w="14967"/>
          </w:tcPr>
          <w:p>
            <w:r>
              <w:rPr>
                <w:b w:val="0"/>
                <w:i w:val="0"/>
                <w:sz w:val="18"/>
              </w:rPr>
              <w:t>Reflexionar sobre las diferentes dimensiones de la experiencia humana, propia y ajena, a partir de la lectura de obras literarias y otros textos que forman parte de nuestras herencias culturales, abordando los temas estipulados para el curso y las obras sugeridas para cada uno.</w:t>
            </w:r>
          </w:p>
        </w:tc>
      </w:tr>
      <w:tr>
        <w:trPr>
          <w:cantSplit/>
        </w:trPr>
        <w:tc>
          <w:tcPr>
            <w:tcW w:type="dxa" w:w="1701"/>
          </w:tcPr>
          <w:p>
            <w:r>
              <w:rPr>
                <w:b/>
                <w:i w:val="0"/>
                <w:sz w:val="18"/>
              </w:rPr>
              <w:t>OA 3</w:t>
            </w:r>
          </w:p>
          <w:p>
            <w:r>
              <w:rPr>
                <w:b w:val="0"/>
                <w:i w:val="0"/>
                <w:color w:val="595959"/>
                <w:sz w:val="14"/>
              </w:rPr>
              <w:t>(B 68 · P 58)</w:t>
            </w:r>
          </w:p>
        </w:tc>
        <w:tc>
          <w:tcPr>
            <w:tcW w:type="dxa" w:w="14967"/>
          </w:tcPr>
          <w:p>
            <w:r>
              <w:rPr>
                <w:b w:val="0"/>
                <w:i w:val="0"/>
                <w:sz w:val="18"/>
              </w:rPr>
              <w:t>Analizar las narraciones leídas para enriquecer su comprensión, considerando, cuando sea pertinente:</w:t>
            </w:r>
          </w:p>
          <w:p>
            <w:pPr>
              <w:pStyle w:val="ListBullet"/>
              <w:spacing w:after="20"/>
              <w:ind w:left="198" w:hanging="170"/>
            </w:pPr>
            <w:r>
              <w:rPr>
                <w:b w:val="0"/>
                <w:i w:val="0"/>
                <w:sz w:val="18"/>
              </w:rPr>
              <w:t>El o los conflictos de la historia.</w:t>
            </w:r>
          </w:p>
          <w:p>
            <w:pPr>
              <w:pStyle w:val="ListBullet"/>
              <w:spacing w:after="20"/>
              <w:ind w:left="198" w:hanging="170"/>
            </w:pPr>
            <w:r>
              <w:rPr>
                <w:b w:val="0"/>
                <w:i w:val="0"/>
                <w:sz w:val="18"/>
              </w:rPr>
              <w:t>Un análisis de los personajes que considere su relación con otros personajes, qué dicen, qué se dice de ellos, sus acciones y motivaciones, sus convicciones y los dilemas que enfrentan.</w:t>
            </w:r>
          </w:p>
          <w:p>
            <w:pPr>
              <w:pStyle w:val="ListBullet"/>
              <w:spacing w:after="20"/>
              <w:ind w:left="198" w:hanging="170"/>
            </w:pPr>
            <w:r>
              <w:rPr>
                <w:b w:val="0"/>
                <w:i w:val="0"/>
                <w:sz w:val="18"/>
              </w:rPr>
              <w:t>La relación de un fragmento de la obra con el total.</w:t>
            </w:r>
          </w:p>
          <w:p>
            <w:pPr>
              <w:pStyle w:val="ListBullet"/>
              <w:spacing w:after="20"/>
              <w:ind w:left="198" w:hanging="170"/>
            </w:pPr>
            <w:r>
              <w:rPr>
                <w:b w:val="0"/>
                <w:i w:val="0"/>
                <w:sz w:val="18"/>
              </w:rPr>
              <w:t>Cómo el relato está influido por la visión del narrador.</w:t>
            </w:r>
          </w:p>
          <w:p>
            <w:pPr>
              <w:pStyle w:val="ListBullet"/>
              <w:spacing w:after="20"/>
              <w:ind w:left="198" w:hanging="170"/>
            </w:pPr>
            <w:r>
              <w:rPr>
                <w:b w:val="0"/>
                <w:i w:val="0"/>
                <w:sz w:val="18"/>
              </w:rPr>
              <w:t>Personajes tipo (por ejemplo, el pícaro, el avaro, el seductor, la madrastra, etc.), símbolos y tópicos literarios presentes en el texto.</w:t>
            </w:r>
          </w:p>
          <w:p>
            <w:pPr>
              <w:pStyle w:val="ListBullet"/>
              <w:spacing w:after="20"/>
              <w:ind w:left="198" w:hanging="170"/>
            </w:pPr>
            <w:r>
              <w:rPr>
                <w:b w:val="0"/>
                <w:i w:val="0"/>
                <w:sz w:val="18"/>
              </w:rPr>
              <w:t>Las creencias, prejuicios y estereotipos presentes en el relato, a la luz de la visión de mundo de la época en la que fue escrito y su conexión con el mundo actual.</w:t>
            </w:r>
          </w:p>
          <w:p>
            <w:pPr>
              <w:pStyle w:val="ListBullet"/>
              <w:spacing w:after="20"/>
              <w:ind w:left="198" w:hanging="170"/>
            </w:pPr>
            <w:r>
              <w:rPr>
                <w:b w:val="0"/>
                <w:i w:val="0"/>
                <w:sz w:val="18"/>
              </w:rPr>
              <w:t>El efecto producido por recursos como flashback, indicios, caja china (historia dentro de una historia), historia paralela.</w:t>
            </w:r>
          </w:p>
          <w:p>
            <w:pPr>
              <w:pStyle w:val="ListBullet"/>
              <w:spacing w:after="20"/>
              <w:ind w:left="198" w:hanging="170"/>
            </w:pPr>
            <w:r>
              <w:rPr>
                <w:b w:val="0"/>
                <w:i w:val="0"/>
                <w:sz w:val="18"/>
              </w:rPr>
              <w:t>Relaciones intertextuales con otras obras.</w:t>
            </w:r>
          </w:p>
        </w:tc>
      </w:tr>
      <w:tr>
        <w:trPr>
          <w:cantSplit/>
        </w:trPr>
        <w:tc>
          <w:tcPr>
            <w:tcW w:type="dxa" w:w="1701"/>
          </w:tcPr>
          <w:p>
            <w:r>
              <w:rPr>
                <w:b/>
                <w:i w:val="0"/>
                <w:sz w:val="18"/>
              </w:rPr>
              <w:t>OA 4</w:t>
            </w:r>
          </w:p>
          <w:p>
            <w:r>
              <w:rPr>
                <w:b w:val="0"/>
                <w:i w:val="0"/>
                <w:color w:val="595959"/>
                <w:sz w:val="14"/>
              </w:rPr>
              <w:t>(B 68 · P 59)</w:t>
            </w:r>
          </w:p>
        </w:tc>
        <w:tc>
          <w:tcPr>
            <w:tcW w:type="dxa" w:w="14967"/>
          </w:tcPr>
          <w:p>
            <w:r>
              <w:rPr>
                <w:b w:val="0"/>
                <w:i w:val="0"/>
                <w:sz w:val="18"/>
              </w:rPr>
              <w:t>Analizar los poemas leídos para enriquecer su comprensión, considerando, cuando sea pertinente:</w:t>
            </w:r>
          </w:p>
          <w:p>
            <w:pPr>
              <w:pStyle w:val="ListBullet"/>
              <w:spacing w:after="20"/>
              <w:ind w:left="198" w:hanging="170"/>
            </w:pPr>
            <w:r>
              <w:rPr>
                <w:b w:val="0"/>
                <w:i w:val="0"/>
                <w:sz w:val="18"/>
              </w:rPr>
              <w:t>Los símbolos presentes en el texto y su relación con la totalidad del poema.</w:t>
            </w:r>
          </w:p>
          <w:p>
            <w:pPr>
              <w:pStyle w:val="ListBullet"/>
              <w:spacing w:after="20"/>
              <w:ind w:left="198" w:hanging="170"/>
            </w:pPr>
            <w:r>
              <w:rPr>
                <w:b w:val="0"/>
                <w:i w:val="0"/>
                <w:sz w:val="18"/>
              </w:rPr>
              <w:t>La actitud del hablante hacia el tema que aborda.</w:t>
            </w:r>
          </w:p>
          <w:p>
            <w:pPr>
              <w:pStyle w:val="ListBullet"/>
              <w:spacing w:after="20"/>
              <w:ind w:left="198" w:hanging="170"/>
            </w:pPr>
            <w:r>
              <w:rPr>
                <w:b w:val="0"/>
                <w:i w:val="0"/>
                <w:sz w:val="18"/>
              </w:rPr>
              <w:t>El significado o el efecto que produce el uso de lenguaje figurado en el poema.</w:t>
            </w:r>
          </w:p>
          <w:p>
            <w:pPr>
              <w:pStyle w:val="ListBullet"/>
              <w:spacing w:after="20"/>
              <w:ind w:left="198" w:hanging="170"/>
            </w:pPr>
            <w:r>
              <w:rPr>
                <w:b w:val="0"/>
                <w:i w:val="0"/>
                <w:sz w:val="18"/>
              </w:rPr>
              <w:t>El efecto que tiene el uso de repeticiones (de estructuras, sonidos, palabras o ideas) en el poema.</w:t>
            </w:r>
          </w:p>
          <w:p>
            <w:pPr>
              <w:pStyle w:val="ListBullet"/>
              <w:spacing w:after="20"/>
              <w:ind w:left="198" w:hanging="170"/>
            </w:pPr>
            <w:r>
              <w:rPr>
                <w:b w:val="0"/>
                <w:i w:val="0"/>
                <w:sz w:val="18"/>
              </w:rPr>
              <w:t>La relación que hay entre un fragmento y el total del poema.</w:t>
            </w:r>
          </w:p>
          <w:p>
            <w:pPr>
              <w:pStyle w:val="ListBullet"/>
              <w:spacing w:after="20"/>
              <w:ind w:left="198" w:hanging="170"/>
            </w:pPr>
            <w:r>
              <w:rPr>
                <w:b w:val="0"/>
                <w:i w:val="0"/>
                <w:sz w:val="18"/>
              </w:rPr>
              <w:t>Relaciones intertextuales con otras obras.</w:t>
            </w:r>
          </w:p>
          <w:p>
            <w:pPr>
              <w:pStyle w:val="ListBullet"/>
              <w:spacing w:after="20"/>
              <w:ind w:left="198" w:hanging="170"/>
            </w:pPr>
            <w:r>
              <w:rPr>
                <w:b w:val="0"/>
                <w:i w:val="0"/>
                <w:sz w:val="18"/>
              </w:rPr>
              <w:t>Las características del soneto.</w:t>
            </w:r>
          </w:p>
        </w:tc>
      </w:tr>
      <w:tr>
        <w:trPr>
          <w:cantSplit/>
        </w:trPr>
        <w:tc>
          <w:tcPr>
            <w:tcW w:type="dxa" w:w="1701"/>
          </w:tcPr>
          <w:p>
            <w:r>
              <w:rPr>
                <w:b/>
                <w:i w:val="0"/>
                <w:sz w:val="18"/>
              </w:rPr>
              <w:t>OA 5</w:t>
            </w:r>
          </w:p>
          <w:p>
            <w:r>
              <w:rPr>
                <w:b w:val="0"/>
                <w:i w:val="0"/>
                <w:color w:val="595959"/>
                <w:sz w:val="14"/>
              </w:rPr>
              <w:t>(B 69 · P 59)</w:t>
            </w:r>
          </w:p>
        </w:tc>
        <w:tc>
          <w:tcPr>
            <w:tcW w:type="dxa" w:w="14967"/>
          </w:tcPr>
          <w:p>
            <w:r>
              <w:rPr>
                <w:b w:val="0"/>
                <w:i w:val="0"/>
                <w:sz w:val="18"/>
              </w:rPr>
              <w:t>Analizar los textos dramáticos leídos o vistos, para enriquecer su comprensión, considerando, cuando sea pertinente:</w:t>
            </w:r>
          </w:p>
          <w:p>
            <w:pPr>
              <w:pStyle w:val="ListBullet"/>
              <w:spacing w:after="20"/>
              <w:ind w:left="198" w:hanging="170"/>
            </w:pPr>
            <w:r>
              <w:rPr>
                <w:b w:val="0"/>
                <w:i w:val="0"/>
                <w:sz w:val="18"/>
              </w:rPr>
              <w:t>El conflicto y qué problema humano se expresa a través de él.</w:t>
            </w:r>
          </w:p>
          <w:p>
            <w:pPr>
              <w:pStyle w:val="ListBullet"/>
              <w:spacing w:after="20"/>
              <w:ind w:left="198" w:hanging="170"/>
            </w:pPr>
            <w:r>
              <w:rPr>
                <w:b w:val="0"/>
                <w:i w:val="0"/>
                <w:sz w:val="18"/>
              </w:rPr>
              <w:t>Un análisis de los personajes principales que considere su evolución, su relación con otros personajes, qué dicen, qué se dice de ellos, lo que hacen, cómo reaccionan, qué piensan y cuáles son sus motivaciones.</w:t>
            </w:r>
          </w:p>
          <w:p>
            <w:pPr>
              <w:pStyle w:val="ListBullet"/>
              <w:spacing w:after="20"/>
              <w:ind w:left="198" w:hanging="170"/>
            </w:pPr>
            <w:r>
              <w:rPr>
                <w:b w:val="0"/>
                <w:i w:val="0"/>
                <w:sz w:val="18"/>
              </w:rPr>
              <w:t>Personajes tipo, símbolos y tópicos literarios.</w:t>
            </w:r>
          </w:p>
          <w:p>
            <w:pPr>
              <w:pStyle w:val="ListBullet"/>
              <w:spacing w:after="20"/>
              <w:ind w:left="198" w:hanging="170"/>
            </w:pPr>
            <w:r>
              <w:rPr>
                <w:b w:val="0"/>
                <w:i w:val="0"/>
                <w:sz w:val="18"/>
              </w:rPr>
              <w:t>Las creencias, prejuicios y estereotipos presentes en el relato, a la luz de la visión de mundo de la época en la que fue escrito y su conexión con el mundo actual.</w:t>
            </w:r>
          </w:p>
          <w:p>
            <w:pPr>
              <w:pStyle w:val="ListBullet"/>
              <w:spacing w:after="20"/>
              <w:ind w:left="198" w:hanging="170"/>
            </w:pPr>
            <w:r>
              <w:rPr>
                <w:b w:val="0"/>
                <w:i w:val="0"/>
                <w:sz w:val="18"/>
              </w:rPr>
              <w:t>La atmósfera de la obra y cómo se construye a través de los diálogos, los monólogos, las acciones y las acotaciones.</w:t>
            </w:r>
          </w:p>
          <w:p>
            <w:pPr>
              <w:pStyle w:val="ListBullet"/>
              <w:spacing w:after="20"/>
              <w:ind w:left="198" w:hanging="170"/>
            </w:pPr>
            <w:r>
              <w:rPr>
                <w:b w:val="0"/>
                <w:i w:val="0"/>
                <w:sz w:val="18"/>
              </w:rPr>
              <w:t>Cómo los elementos propios de la puesta en escena aportan a la comprensión de la obra: iluminación, sonido, vestuario, escenografía, actuación.</w:t>
            </w:r>
          </w:p>
          <w:p>
            <w:pPr>
              <w:pStyle w:val="ListBullet"/>
              <w:spacing w:after="20"/>
              <w:ind w:left="198" w:hanging="170"/>
            </w:pPr>
            <w:r>
              <w:rPr>
                <w:b w:val="0"/>
                <w:i w:val="0"/>
                <w:sz w:val="18"/>
              </w:rPr>
              <w:t>Relaciones intertextuales con otras obras.</w:t>
            </w:r>
          </w:p>
        </w:tc>
      </w:tr>
      <w:tr>
        <w:trPr>
          <w:cantSplit/>
        </w:trPr>
        <w:tc>
          <w:tcPr>
            <w:tcW w:type="dxa" w:w="1701"/>
          </w:tcPr>
          <w:p>
            <w:r>
              <w:rPr>
                <w:b/>
                <w:i w:val="0"/>
                <w:sz w:val="18"/>
              </w:rPr>
              <w:t>OA 6</w:t>
            </w:r>
          </w:p>
          <w:p>
            <w:r>
              <w:rPr>
                <w:b w:val="0"/>
                <w:i w:val="0"/>
                <w:color w:val="595959"/>
                <w:sz w:val="14"/>
              </w:rPr>
              <w:t>(B 69 · P 59)</w:t>
            </w:r>
          </w:p>
        </w:tc>
        <w:tc>
          <w:tcPr>
            <w:tcW w:type="dxa" w:w="14967"/>
          </w:tcPr>
          <w:p>
            <w:r>
              <w:rPr>
                <w:b w:val="0"/>
                <w:i w:val="0"/>
                <w:sz w:val="18"/>
              </w:rPr>
              <w:t>Comprender la relevancia de las obras del Siglo de Oro, considerando sus características y el contexto en el que se enmarcan.</w:t>
            </w:r>
          </w:p>
        </w:tc>
      </w:tr>
      <w:tr>
        <w:trPr>
          <w:cantSplit/>
        </w:trPr>
        <w:tc>
          <w:tcPr>
            <w:tcW w:type="dxa" w:w="1701"/>
          </w:tcPr>
          <w:p>
            <w:r>
              <w:rPr>
                <w:b/>
                <w:i w:val="0"/>
                <w:sz w:val="18"/>
              </w:rPr>
              <w:t>OA 7</w:t>
            </w:r>
          </w:p>
          <w:p>
            <w:r>
              <w:rPr>
                <w:b w:val="0"/>
                <w:i w:val="0"/>
                <w:color w:val="595959"/>
                <w:sz w:val="14"/>
              </w:rPr>
              <w:t>(B 69 · P 59)</w:t>
            </w:r>
          </w:p>
        </w:tc>
        <w:tc>
          <w:tcPr>
            <w:tcW w:type="dxa" w:w="14967"/>
          </w:tcPr>
          <w:p>
            <w:r>
              <w:rPr>
                <w:b w:val="0"/>
                <w:i w:val="0"/>
                <w:sz w:val="18"/>
              </w:rPr>
              <w:t>Leer y comprender cuentos latinoamericanos modernos y contemporáneos, considerando sus características y el contexto en el que se enmarcan.</w:t>
            </w:r>
          </w:p>
        </w:tc>
      </w:tr>
      <w:tr>
        <w:trPr>
          <w:cantSplit/>
        </w:trPr>
        <w:tc>
          <w:tcPr>
            <w:tcW w:type="dxa" w:w="1701"/>
          </w:tcPr>
          <w:p>
            <w:r>
              <w:rPr>
                <w:b/>
                <w:i w:val="0"/>
                <w:sz w:val="18"/>
              </w:rPr>
              <w:t>OA 8</w:t>
            </w:r>
          </w:p>
          <w:p>
            <w:r>
              <w:rPr>
                <w:b w:val="0"/>
                <w:i w:val="0"/>
                <w:color w:val="595959"/>
                <w:sz w:val="14"/>
              </w:rPr>
              <w:t>(B 69 · P 60)</w:t>
            </w:r>
          </w:p>
        </w:tc>
        <w:tc>
          <w:tcPr>
            <w:tcW w:type="dxa" w:w="14967"/>
          </w:tcPr>
          <w:p>
            <w:r>
              <w:rPr>
                <w:b w:val="0"/>
                <w:i w:val="0"/>
                <w:sz w:val="18"/>
              </w:rPr>
              <w:t>Formular una interpretación de los textos literarios leídos o vistos, que sea coherente con su análisis, considerando:</w:t>
            </w:r>
          </w:p>
          <w:p>
            <w:pPr>
              <w:pStyle w:val="ListBullet"/>
              <w:spacing w:after="20"/>
              <w:ind w:left="198" w:hanging="170"/>
            </w:pPr>
            <w:r>
              <w:rPr>
                <w:b w:val="0"/>
                <w:i w:val="0"/>
                <w:sz w:val="18"/>
              </w:rPr>
              <w:t>Una hipótesis sobre el sentido de la obra, que muestre un punto de vista personal, histórico, social o universal.</w:t>
            </w:r>
          </w:p>
          <w:p>
            <w:pPr>
              <w:pStyle w:val="ListBullet"/>
              <w:spacing w:after="20"/>
              <w:ind w:left="198" w:hanging="170"/>
            </w:pPr>
            <w:r>
              <w:rPr>
                <w:b w:val="0"/>
                <w:i w:val="0"/>
                <w:sz w:val="18"/>
              </w:rPr>
              <w:t>Una crítica de la obra sustentada en citas o ejemplos.</w:t>
            </w:r>
          </w:p>
          <w:p>
            <w:pPr>
              <w:pStyle w:val="ListBullet"/>
              <w:spacing w:after="20"/>
              <w:ind w:left="198" w:hanging="170"/>
            </w:pPr>
            <w:r>
              <w:rPr>
                <w:b w:val="0"/>
                <w:i w:val="0"/>
                <w:sz w:val="18"/>
              </w:rPr>
              <w:t>Los antecedentes culturales que influyen en la visión que refleja la obra sobre temas como el destino, la muerte, la trascendencia, la guerra u otros.</w:t>
            </w:r>
          </w:p>
          <w:p>
            <w:pPr>
              <w:pStyle w:val="ListBullet"/>
              <w:spacing w:after="20"/>
              <w:ind w:left="198" w:hanging="170"/>
            </w:pPr>
            <w:r>
              <w:rPr>
                <w:b w:val="0"/>
                <w:i w:val="0"/>
                <w:sz w:val="18"/>
              </w:rPr>
              <w:t>La relación de la obra con la visión de mundo y el contexto histórico en el que se ambienta y/o en el que fue creada, ejemplificando dicha relación.</w:t>
            </w:r>
          </w:p>
        </w:tc>
      </w:tr>
      <w:tr>
        <w:trPr>
          <w:cantSplit/>
        </w:trPr>
        <w:tc>
          <w:tcPr>
            <w:tcW w:type="dxa" w:w="1701"/>
          </w:tcPr>
          <w:p>
            <w:r>
              <w:rPr>
                <w:b/>
                <w:i w:val="0"/>
                <w:sz w:val="18"/>
              </w:rPr>
              <w:t>OA 9</w:t>
            </w:r>
          </w:p>
          <w:p>
            <w:r>
              <w:rPr>
                <w:b w:val="0"/>
                <w:i w:val="0"/>
                <w:color w:val="595959"/>
                <w:sz w:val="14"/>
              </w:rPr>
              <w:t>(B 69 · P 60)</w:t>
            </w:r>
          </w:p>
        </w:tc>
        <w:tc>
          <w:tcPr>
            <w:tcW w:type="dxa" w:w="14967"/>
          </w:tcPr>
          <w:p>
            <w:r>
              <w:rPr>
                <w:b w:val="0"/>
                <w:i w:val="0"/>
                <w:sz w:val="18"/>
              </w:rPr>
              <w:t>Analizar y evaluar textos con finalidad argumentativa, como columnas de opinión, cartas al director, discursos y ensayos, considerando:</w:t>
            </w:r>
          </w:p>
          <w:p>
            <w:pPr>
              <w:pStyle w:val="ListBullet"/>
              <w:spacing w:after="20"/>
              <w:ind w:left="198" w:hanging="170"/>
            </w:pPr>
            <w:r>
              <w:rPr>
                <w:b w:val="0"/>
                <w:i w:val="0"/>
                <w:sz w:val="18"/>
              </w:rPr>
              <w:t>La tesis, ya sea explícita o implícita, y los argumentos e información que la sostienen.</w:t>
            </w:r>
          </w:p>
          <w:p>
            <w:pPr>
              <w:pStyle w:val="ListBullet"/>
              <w:spacing w:after="20"/>
              <w:ind w:left="198" w:hanging="170"/>
            </w:pPr>
            <w:r>
              <w:rPr>
                <w:b w:val="0"/>
                <w:i w:val="0"/>
                <w:sz w:val="18"/>
              </w:rPr>
              <w:t>Los recursos emocionales que usa el autor para persuadir o convencer al lector, y evaluándolos.</w:t>
            </w:r>
          </w:p>
          <w:p>
            <w:pPr>
              <w:pStyle w:val="ListBullet"/>
              <w:spacing w:after="20"/>
              <w:ind w:left="198" w:hanging="170"/>
            </w:pPr>
            <w:r>
              <w:rPr>
                <w:b w:val="0"/>
                <w:i w:val="0"/>
                <w:sz w:val="18"/>
              </w:rPr>
              <w:t>Fallas evidentes en la argumentación, por ejemplo, exageración, estereotipos, generalizaciones, descalificaciones personales, entre otras.</w:t>
            </w:r>
          </w:p>
          <w:p>
            <w:pPr>
              <w:pStyle w:val="ListBullet"/>
              <w:spacing w:after="20"/>
              <w:ind w:left="198" w:hanging="170"/>
            </w:pPr>
            <w:r>
              <w:rPr>
                <w:b w:val="0"/>
                <w:i w:val="0"/>
                <w:sz w:val="18"/>
              </w:rPr>
              <w:t>El efecto que produce el uso de modalizadores en el grado de certeza con que se presenta la información.</w:t>
            </w:r>
          </w:p>
          <w:p>
            <w:pPr>
              <w:pStyle w:val="ListBullet"/>
              <w:spacing w:after="20"/>
              <w:ind w:left="198" w:hanging="170"/>
            </w:pPr>
            <w:r>
              <w:rPr>
                <w:b w:val="0"/>
                <w:i w:val="0"/>
                <w:sz w:val="18"/>
              </w:rPr>
              <w:t>La manera en que el autor organiza el texto.</w:t>
            </w:r>
          </w:p>
          <w:p>
            <w:pPr>
              <w:pStyle w:val="ListBullet"/>
              <w:spacing w:after="20"/>
              <w:ind w:left="198" w:hanging="170"/>
            </w:pPr>
            <w:r>
              <w:rPr>
                <w:b w:val="0"/>
                <w:i w:val="0"/>
                <w:sz w:val="18"/>
              </w:rPr>
              <w:t>Con qué intención el autor usa distintos elementos léxicos valorativos y figuras retóricas.</w:t>
            </w:r>
          </w:p>
          <w:p>
            <w:pPr>
              <w:pStyle w:val="ListBullet"/>
              <w:spacing w:after="20"/>
              <w:ind w:left="198" w:hanging="170"/>
            </w:pPr>
            <w:r>
              <w:rPr>
                <w:b w:val="0"/>
                <w:i w:val="0"/>
                <w:sz w:val="18"/>
              </w:rPr>
              <w:t>Su postura personal frente a lo leído, refutando o apoyando los argumentos que la sustentan.</w:t>
            </w:r>
          </w:p>
        </w:tc>
      </w:tr>
      <w:tr>
        <w:trPr>
          <w:cantSplit/>
        </w:trPr>
        <w:tc>
          <w:tcPr>
            <w:tcW w:type="dxa" w:w="1701"/>
          </w:tcPr>
          <w:p>
            <w:r>
              <w:rPr>
                <w:b/>
                <w:i w:val="0"/>
                <w:sz w:val="18"/>
              </w:rPr>
              <w:t>OA 10</w:t>
            </w:r>
          </w:p>
          <w:p>
            <w:r>
              <w:rPr>
                <w:b w:val="0"/>
                <w:i w:val="0"/>
                <w:color w:val="595959"/>
                <w:sz w:val="14"/>
              </w:rPr>
              <w:t>(B 70 · P 60)</w:t>
            </w:r>
          </w:p>
        </w:tc>
        <w:tc>
          <w:tcPr>
            <w:tcW w:type="dxa" w:w="14967"/>
          </w:tcPr>
          <w:p>
            <w:r>
              <w:rPr>
                <w:b w:val="0"/>
                <w:i w:val="0"/>
                <w:sz w:val="18"/>
              </w:rPr>
              <w:t>Analizar y evaluar textos de los medios de comunicación, como noticias, reportajes, cartas al director, propaganda o crónicas, considerando:</w:t>
            </w:r>
          </w:p>
          <w:p>
            <w:pPr>
              <w:pStyle w:val="ListBullet"/>
              <w:spacing w:after="20"/>
              <w:ind w:left="198" w:hanging="170"/>
            </w:pPr>
            <w:r>
              <w:rPr>
                <w:b w:val="0"/>
                <w:i w:val="0"/>
                <w:sz w:val="18"/>
              </w:rPr>
              <w:t>Los propósitos explícitos e implícitos del texto, justificando con ejemplos sus afirmaciones sobre dichos propósitos.</w:t>
            </w:r>
          </w:p>
          <w:p>
            <w:pPr>
              <w:pStyle w:val="ListBullet"/>
              <w:spacing w:after="20"/>
              <w:ind w:left="198" w:hanging="170"/>
            </w:pPr>
            <w:r>
              <w:rPr>
                <w:b w:val="0"/>
                <w:i w:val="0"/>
                <w:sz w:val="18"/>
              </w:rPr>
              <w:t>Las estrategias de persuasión utilizadas en el texto (uso del humor, presencia de estereotipos, apelación a los sentimientos, etc.) y evaluándolas.</w:t>
            </w:r>
          </w:p>
          <w:p>
            <w:pPr>
              <w:pStyle w:val="ListBullet"/>
              <w:spacing w:after="20"/>
              <w:ind w:left="198" w:hanging="170"/>
            </w:pPr>
            <w:r>
              <w:rPr>
                <w:b w:val="0"/>
                <w:i w:val="0"/>
                <w:sz w:val="18"/>
              </w:rPr>
              <w:t>Las evidencias que se entregan o se omiten para apoyar una afirmación.</w:t>
            </w:r>
          </w:p>
          <w:p>
            <w:pPr>
              <w:pStyle w:val="ListBullet"/>
              <w:spacing w:after="20"/>
              <w:ind w:left="198" w:hanging="170"/>
            </w:pPr>
            <w:r>
              <w:rPr>
                <w:b w:val="0"/>
                <w:i w:val="0"/>
                <w:sz w:val="18"/>
              </w:rPr>
              <w:t>Los efectos causados por recursos no lingüísticos (como diseño, imágenes, disposición gráfica y efectos de audio) y lingüísticos (uso de imperativo, figuras literarias, expresiones populares, palabras en otros idiomas, intertextualidad, modalizaciones, etc.) presentes en el texto.</w:t>
            </w:r>
          </w:p>
          <w:p>
            <w:pPr>
              <w:pStyle w:val="ListBullet"/>
              <w:spacing w:after="20"/>
              <w:ind w:left="198" w:hanging="170"/>
            </w:pPr>
            <w:r>
              <w:rPr>
                <w:b w:val="0"/>
                <w:i w:val="0"/>
                <w:sz w:val="18"/>
              </w:rPr>
              <w:t>Similitudes y diferencias en la forma en que distintas fuentes presentan un mismo hecho.</w:t>
            </w:r>
          </w:p>
          <w:p>
            <w:pPr>
              <w:pStyle w:val="ListBullet"/>
              <w:spacing w:after="20"/>
              <w:ind w:left="198" w:hanging="170"/>
            </w:pPr>
            <w:r>
              <w:rPr>
                <w:b w:val="0"/>
                <w:i w:val="0"/>
                <w:sz w:val="18"/>
              </w:rPr>
              <w:t>Qué elementos del texto influyen en las propias opiniones, percepción de sí mismo y opciones que tomamos.</w:t>
            </w:r>
          </w:p>
        </w:tc>
      </w:tr>
      <w:tr>
        <w:trPr>
          <w:cantSplit/>
        </w:trPr>
        <w:tc>
          <w:tcPr>
            <w:tcW w:type="dxa" w:w="1701"/>
          </w:tcPr>
          <w:p>
            <w:r>
              <w:rPr>
                <w:b/>
                <w:i w:val="0"/>
                <w:sz w:val="18"/>
              </w:rPr>
              <w:t>OA 11</w:t>
            </w:r>
          </w:p>
          <w:p>
            <w:r>
              <w:rPr>
                <w:b w:val="0"/>
                <w:i w:val="0"/>
                <w:color w:val="595959"/>
                <w:sz w:val="14"/>
              </w:rPr>
              <w:t>(B 70 · P 60)</w:t>
            </w:r>
          </w:p>
        </w:tc>
        <w:tc>
          <w:tcPr>
            <w:tcW w:type="dxa" w:w="14967"/>
          </w:tcPr>
          <w:p>
            <w:r>
              <w:rPr>
                <w:b w:val="0"/>
                <w:i w:val="0"/>
                <w:sz w:val="18"/>
              </w:rPr>
              <w:t>Leer y comprender textos no literarios para contextualizar y complementar las lecturas literarias realizadas en clases.</w:t>
            </w:r>
          </w:p>
        </w:tc>
      </w:tr>
      <w:tr>
        <w:tc>
          <w:tcPr>
            <w:tcW w:type="dxa" w:w="16668"/>
            <w:gridSpan w:val="2"/>
          </w:tcPr>
          <w:p>
            <w:r/>
            <w:r>
              <w:rPr>
                <w:b/>
                <w:i w:val="0"/>
                <w:sz w:val="18"/>
              </w:rPr>
              <w:t>ESCRITURA</w:t>
            </w:r>
          </w:p>
        </w:tc>
      </w:tr>
      <w:tr>
        <w:trPr>
          <w:cantSplit/>
        </w:trPr>
        <w:tc>
          <w:tcPr>
            <w:tcW w:type="dxa" w:w="1701"/>
          </w:tcPr>
          <w:p>
            <w:r>
              <w:rPr>
                <w:b/>
                <w:i w:val="0"/>
                <w:sz w:val="18"/>
              </w:rPr>
              <w:t>OA 12</w:t>
            </w:r>
          </w:p>
          <w:p>
            <w:r>
              <w:rPr>
                <w:b w:val="0"/>
                <w:i w:val="0"/>
                <w:color w:val="595959"/>
                <w:sz w:val="14"/>
              </w:rPr>
              <w:t>(B 70 · P 61)</w:t>
            </w:r>
          </w:p>
        </w:tc>
        <w:tc>
          <w:tcPr>
            <w:tcW w:type="dxa" w:w="14967"/>
          </w:tcPr>
          <w:p>
            <w:r>
              <w:rPr>
                <w:b w:val="0"/>
                <w:i w:val="0"/>
                <w:sz w:val="18"/>
              </w:rPr>
              <w:t>Aplicar flexiblemente y creativamente las habilidades de escritura adquiridas en clases como medio de expresión personal y cuando se enfrentan a nuevos géneros:</w:t>
            </w:r>
          </w:p>
          <w:p>
            <w:pPr>
              <w:pStyle w:val="ListBullet"/>
              <w:spacing w:after="20"/>
              <w:ind w:left="198" w:hanging="170"/>
            </w:pPr>
            <w:r>
              <w:rPr>
                <w:b w:val="0"/>
                <w:i w:val="0"/>
                <w:sz w:val="18"/>
              </w:rPr>
              <w:t>Investigando las características del género antes de escribir.</w:t>
            </w:r>
          </w:p>
          <w:p>
            <w:pPr>
              <w:pStyle w:val="ListBullet"/>
              <w:spacing w:after="20"/>
              <w:ind w:left="198" w:hanging="170"/>
            </w:pPr>
            <w:r>
              <w:rPr>
                <w:b w:val="0"/>
                <w:i w:val="0"/>
                <w:sz w:val="18"/>
              </w:rPr>
              <w:t>Adecuando el texto a los propósitos de escritura y a la situación.</w:t>
            </w:r>
          </w:p>
        </w:tc>
      </w:tr>
      <w:tr>
        <w:trPr>
          <w:cantSplit/>
        </w:trPr>
        <w:tc>
          <w:tcPr>
            <w:tcW w:type="dxa" w:w="1701"/>
          </w:tcPr>
          <w:p>
            <w:r>
              <w:rPr>
                <w:b/>
                <w:i w:val="0"/>
                <w:sz w:val="18"/>
              </w:rPr>
              <w:t>OA 13</w:t>
            </w:r>
          </w:p>
          <w:p>
            <w:r>
              <w:rPr>
                <w:b w:val="0"/>
                <w:i w:val="0"/>
                <w:color w:val="595959"/>
                <w:sz w:val="14"/>
              </w:rPr>
              <w:t>(B 70 · P 61)</w:t>
            </w:r>
          </w:p>
        </w:tc>
        <w:tc>
          <w:tcPr>
            <w:tcW w:type="dxa" w:w="14967"/>
          </w:tcPr>
          <w:p>
            <w:r>
              <w:rPr>
                <w:b w:val="0"/>
                <w:i w:val="0"/>
                <w:sz w:val="18"/>
              </w:rPr>
              <w:t>Escribir, con el propósito de explicar un tema, textos de diversos géneros (por ejemplo, artículos, informes, reportajes, etc.) caracterizados por:</w:t>
            </w:r>
          </w:p>
          <w:p>
            <w:pPr>
              <w:pStyle w:val="ListBullet"/>
              <w:spacing w:after="20"/>
              <w:ind w:left="198" w:hanging="170"/>
            </w:pPr>
            <w:r>
              <w:rPr>
                <w:b w:val="0"/>
                <w:i w:val="0"/>
                <w:sz w:val="18"/>
              </w:rPr>
              <w:t>Una presentación clara del tema en que se esbozan los aspectos que se abordarán.</w:t>
            </w:r>
          </w:p>
          <w:p>
            <w:pPr>
              <w:pStyle w:val="ListBullet"/>
              <w:spacing w:after="20"/>
              <w:ind w:left="198" w:hanging="170"/>
            </w:pPr>
            <w:r>
              <w:rPr>
                <w:b w:val="0"/>
                <w:i w:val="0"/>
                <w:sz w:val="18"/>
              </w:rPr>
              <w:t>Una organización y redacción propias de la información.</w:t>
            </w:r>
          </w:p>
          <w:p>
            <w:pPr>
              <w:pStyle w:val="ListBullet"/>
              <w:spacing w:after="20"/>
              <w:ind w:left="198" w:hanging="170"/>
            </w:pPr>
            <w:r>
              <w:rPr>
                <w:b w:val="0"/>
                <w:i w:val="0"/>
                <w:sz w:val="18"/>
              </w:rPr>
              <w:t>La inclusión de hechos, descripciones, ejemplos o explicaciones que reflejen una reflexión personal sobre el tema.</w:t>
            </w:r>
          </w:p>
          <w:p>
            <w:pPr>
              <w:pStyle w:val="ListBullet"/>
              <w:spacing w:after="20"/>
              <w:ind w:left="198" w:hanging="170"/>
            </w:pPr>
            <w:r>
              <w:rPr>
                <w:b w:val="0"/>
                <w:i w:val="0"/>
                <w:sz w:val="18"/>
              </w:rPr>
              <w:t>Una progresión temática clara, con especial atención al empleo de recursos anafóricos y conectores.</w:t>
            </w:r>
          </w:p>
          <w:p>
            <w:pPr>
              <w:pStyle w:val="ListBullet"/>
              <w:spacing w:after="20"/>
              <w:ind w:left="198" w:hanging="170"/>
            </w:pPr>
            <w:r>
              <w:rPr>
                <w:b w:val="0"/>
                <w:i w:val="0"/>
                <w:sz w:val="18"/>
              </w:rPr>
              <w:t>El uso de recursos variados que favorezcan el interés y la comprensión del lector, tales como anécdotas, citas, síntesis, imágenes, infografías, etc.</w:t>
            </w:r>
          </w:p>
          <w:p>
            <w:pPr>
              <w:pStyle w:val="ListBullet"/>
              <w:spacing w:after="20"/>
              <w:ind w:left="198" w:hanging="170"/>
            </w:pPr>
            <w:r>
              <w:rPr>
                <w:b w:val="0"/>
                <w:i w:val="0"/>
                <w:sz w:val="18"/>
              </w:rPr>
              <w:t>Un cierre coherente con las características del género y el propósito del autor.</w:t>
            </w:r>
          </w:p>
          <w:p>
            <w:pPr>
              <w:pStyle w:val="ListBullet"/>
              <w:spacing w:after="20"/>
              <w:ind w:left="198" w:hanging="170"/>
            </w:pPr>
            <w:r>
              <w:rPr>
                <w:b w:val="0"/>
                <w:i w:val="0"/>
                <w:sz w:val="18"/>
              </w:rPr>
              <w:t>El uso de citas y referencias según un formato previamente acordado.</w:t>
            </w:r>
          </w:p>
        </w:tc>
      </w:tr>
      <w:tr>
        <w:trPr>
          <w:cantSplit/>
        </w:trPr>
        <w:tc>
          <w:tcPr>
            <w:tcW w:type="dxa" w:w="1701"/>
          </w:tcPr>
          <w:p>
            <w:r>
              <w:rPr>
                <w:b/>
                <w:i w:val="0"/>
                <w:sz w:val="18"/>
              </w:rPr>
              <w:t>OA 14</w:t>
            </w:r>
          </w:p>
          <w:p>
            <w:r>
              <w:rPr>
                <w:b w:val="0"/>
                <w:i w:val="0"/>
                <w:color w:val="595959"/>
                <w:sz w:val="14"/>
              </w:rPr>
              <w:t>(B 71 · P 61)</w:t>
            </w:r>
          </w:p>
        </w:tc>
        <w:tc>
          <w:tcPr>
            <w:tcW w:type="dxa" w:w="14967"/>
          </w:tcPr>
          <w:p>
            <w:r>
              <w:rPr>
                <w:b w:val="0"/>
                <w:i w:val="0"/>
                <w:sz w:val="18"/>
              </w:rPr>
              <w:t>Escribir, con el propósito de persuadir, textos de diversos géneros, en particular ensayos sobre los temas o lecturas propuestos para el nivel, caracterizados por:</w:t>
            </w:r>
          </w:p>
          <w:p>
            <w:pPr>
              <w:pStyle w:val="ListBullet"/>
              <w:spacing w:after="20"/>
              <w:ind w:left="198" w:hanging="170"/>
            </w:pPr>
            <w:r>
              <w:rPr>
                <w:b w:val="0"/>
                <w:i w:val="0"/>
                <w:sz w:val="18"/>
              </w:rPr>
              <w:t>La presentación de una hipótesis o afirmación referida a temas contingentes o literarios.</w:t>
            </w:r>
          </w:p>
          <w:p>
            <w:pPr>
              <w:pStyle w:val="ListBullet"/>
              <w:spacing w:after="20"/>
              <w:ind w:left="198" w:hanging="170"/>
            </w:pPr>
            <w:r>
              <w:rPr>
                <w:b w:val="0"/>
                <w:i w:val="0"/>
                <w:sz w:val="18"/>
              </w:rPr>
              <w:t>La presencia de evidencias e información pertinente, extraídas de textos literarios y no literarios.</w:t>
            </w:r>
          </w:p>
          <w:p>
            <w:pPr>
              <w:pStyle w:val="ListBullet"/>
              <w:spacing w:after="20"/>
              <w:ind w:left="198" w:hanging="170"/>
            </w:pPr>
            <w:r>
              <w:rPr>
                <w:b w:val="0"/>
                <w:i w:val="0"/>
                <w:sz w:val="18"/>
              </w:rPr>
              <w:t>El uso de contraargumentos cuando es pertinente.</w:t>
            </w:r>
          </w:p>
          <w:p>
            <w:pPr>
              <w:pStyle w:val="ListBullet"/>
              <w:spacing w:after="20"/>
              <w:ind w:left="198" w:hanging="170"/>
            </w:pPr>
            <w:r>
              <w:rPr>
                <w:b w:val="0"/>
                <w:i w:val="0"/>
                <w:sz w:val="18"/>
              </w:rPr>
              <w:t>El uso de recursos variados que favorezcan el interés y la comprensión del lector, tales como anécdotas, citas, síntesis, imágenes, infografías, etc.</w:t>
            </w:r>
          </w:p>
          <w:p>
            <w:pPr>
              <w:pStyle w:val="ListBullet"/>
              <w:spacing w:after="20"/>
              <w:ind w:left="198" w:hanging="170"/>
            </w:pPr>
            <w:r>
              <w:rPr>
                <w:b w:val="0"/>
                <w:i w:val="0"/>
                <w:sz w:val="18"/>
              </w:rPr>
              <w:t>La mantención de la coherencia temática.</w:t>
            </w:r>
          </w:p>
          <w:p>
            <w:pPr>
              <w:pStyle w:val="ListBullet"/>
              <w:spacing w:after="20"/>
              <w:ind w:left="198" w:hanging="170"/>
            </w:pPr>
            <w:r>
              <w:rPr>
                <w:b w:val="0"/>
                <w:i w:val="0"/>
                <w:sz w:val="18"/>
              </w:rPr>
              <w:t>Una conclusión coherente con los argumentos presentados.</w:t>
            </w:r>
          </w:p>
          <w:p>
            <w:pPr>
              <w:pStyle w:val="ListBullet"/>
              <w:spacing w:after="20"/>
              <w:ind w:left="198" w:hanging="170"/>
            </w:pPr>
            <w:r>
              <w:rPr>
                <w:b w:val="0"/>
                <w:i w:val="0"/>
                <w:sz w:val="18"/>
              </w:rPr>
              <w:t>El uso de citas y referencias según un formato previamente acordado.</w:t>
            </w:r>
          </w:p>
        </w:tc>
      </w:tr>
      <w:tr>
        <w:trPr>
          <w:cantSplit/>
        </w:trPr>
        <w:tc>
          <w:tcPr>
            <w:tcW w:type="dxa" w:w="1701"/>
          </w:tcPr>
          <w:p>
            <w:r>
              <w:rPr>
                <w:b/>
                <w:i w:val="0"/>
                <w:sz w:val="18"/>
              </w:rPr>
              <w:t>OA 15</w:t>
            </w:r>
          </w:p>
          <w:p>
            <w:r>
              <w:rPr>
                <w:b w:val="0"/>
                <w:i w:val="0"/>
                <w:color w:val="595959"/>
                <w:sz w:val="14"/>
              </w:rPr>
              <w:t>(B 71 · P 62)</w:t>
            </w:r>
          </w:p>
        </w:tc>
        <w:tc>
          <w:tcPr>
            <w:tcW w:type="dxa" w:w="14967"/>
          </w:tcPr>
          <w:p>
            <w:r>
              <w:rPr>
                <w:b w:val="0"/>
                <w:i w:val="0"/>
                <w:sz w:val="18"/>
              </w:rPr>
              <w:t>Planificar, escribir, revisar, reescribir y editar sus textos en función del contexto, el destinatario y el propósito:</w:t>
            </w:r>
          </w:p>
          <w:p>
            <w:pPr>
              <w:pStyle w:val="ListBullet"/>
              <w:spacing w:after="20"/>
              <w:ind w:left="198" w:hanging="170"/>
            </w:pPr>
            <w:r>
              <w:rPr>
                <w:b w:val="0"/>
                <w:i w:val="0"/>
                <w:sz w:val="18"/>
              </w:rPr>
              <w:t>Recopilando información e ideas y organizándolas antes de escribir.</w:t>
            </w:r>
          </w:p>
          <w:p>
            <w:pPr>
              <w:pStyle w:val="ListBullet"/>
              <w:spacing w:after="20"/>
              <w:ind w:left="198" w:hanging="170"/>
            </w:pPr>
            <w:r>
              <w:rPr>
                <w:b w:val="0"/>
                <w:i w:val="0"/>
                <w:sz w:val="18"/>
              </w:rPr>
              <w:t>Adecuando el registro, específicamente el vocabulario (uso de términos técnicos, frases hechas, palabras propias de las redes sociales, términos y expresiones propios del lenguaje hablado), el uso de la persona gramatical y la estructura del texto, al género discursivo, contexto y destinatario.</w:t>
            </w:r>
          </w:p>
          <w:p>
            <w:pPr>
              <w:pStyle w:val="ListBullet"/>
              <w:spacing w:after="20"/>
              <w:ind w:left="198" w:hanging="170"/>
            </w:pPr>
            <w:r>
              <w:rPr>
                <w:b w:val="0"/>
                <w:i w:val="0"/>
                <w:sz w:val="18"/>
              </w:rPr>
              <w:t>Considerando los conocimientos e intereses del lector al incluir la información.</w:t>
            </w:r>
          </w:p>
          <w:p>
            <w:pPr>
              <w:pStyle w:val="ListBullet"/>
              <w:spacing w:after="20"/>
              <w:ind w:left="198" w:hanging="170"/>
            </w:pPr>
            <w:r>
              <w:rPr>
                <w:b w:val="0"/>
                <w:i w:val="0"/>
                <w:sz w:val="18"/>
              </w:rPr>
              <w:t>Asegurando la coherencia y la cohesión del texto.</w:t>
            </w:r>
          </w:p>
          <w:p>
            <w:pPr>
              <w:pStyle w:val="ListBullet"/>
              <w:spacing w:after="20"/>
              <w:ind w:left="198" w:hanging="170"/>
            </w:pPr>
            <w:r>
              <w:rPr>
                <w:b w:val="0"/>
                <w:i w:val="0"/>
                <w:sz w:val="18"/>
              </w:rPr>
              <w:t>Cuidando la organización a nivel oracional y textual.</w:t>
            </w:r>
          </w:p>
          <w:p>
            <w:pPr>
              <w:pStyle w:val="ListBullet"/>
              <w:spacing w:after="20"/>
              <w:ind w:left="198" w:hanging="170"/>
            </w:pPr>
            <w:r>
              <w:rPr>
                <w:b w:val="0"/>
                <w:i w:val="0"/>
                <w:sz w:val="18"/>
              </w:rPr>
              <w:t>Usando conectores adecuados para unir las secciones que componen el texto y relacionando las ideas dentro de cada párrafo.</w:t>
            </w:r>
          </w:p>
          <w:p>
            <w:pPr>
              <w:pStyle w:val="ListBullet"/>
              <w:spacing w:after="20"/>
              <w:ind w:left="198" w:hanging="170"/>
            </w:pPr>
            <w:r>
              <w:rPr>
                <w:b w:val="0"/>
                <w:i w:val="0"/>
                <w:sz w:val="18"/>
              </w:rPr>
              <w:t>Usando un vocabulario variado y preciso.</w:t>
            </w:r>
          </w:p>
          <w:p>
            <w:pPr>
              <w:pStyle w:val="ListBullet"/>
              <w:spacing w:after="20"/>
              <w:ind w:left="198" w:hanging="170"/>
            </w:pPr>
            <w:r>
              <w:rPr>
                <w:b w:val="0"/>
                <w:i w:val="0"/>
                <w:sz w:val="18"/>
              </w:rPr>
              <w:t>Reconociendo y corrigiendo usos inadecuados, especialmente de pronombres personales y reflejos, conjugaciones verbales, participios irregulares, conectores, preposiciones, y concordancia sujeto–verbo, artículo–sustantivo, sustantivo–adjetivo y complementarios.</w:t>
            </w:r>
          </w:p>
          <w:p>
            <w:pPr>
              <w:pStyle w:val="ListBullet"/>
              <w:spacing w:after="20"/>
              <w:ind w:left="198" w:hanging="170"/>
            </w:pPr>
            <w:r>
              <w:rPr>
                <w:b w:val="0"/>
                <w:i w:val="0"/>
                <w:sz w:val="18"/>
              </w:rPr>
              <w:t>Corrigiendo la ortografía y mejorando la presentación.</w:t>
            </w:r>
          </w:p>
          <w:p>
            <w:pPr>
              <w:pStyle w:val="ListBullet"/>
              <w:spacing w:after="20"/>
              <w:ind w:left="198" w:hanging="170"/>
            </w:pPr>
            <w:r>
              <w:rPr>
                <w:b w:val="0"/>
                <w:i w:val="0"/>
                <w:sz w:val="18"/>
              </w:rPr>
              <w:t>Usando eficazmente las herramientas del procesador de textos.</w:t>
            </w:r>
          </w:p>
        </w:tc>
      </w:tr>
      <w:tr>
        <w:trPr>
          <w:cantSplit/>
        </w:trPr>
        <w:tc>
          <w:tcPr>
            <w:tcW w:type="dxa" w:w="1701"/>
          </w:tcPr>
          <w:p>
            <w:r>
              <w:rPr>
                <w:b/>
                <w:i w:val="0"/>
                <w:sz w:val="18"/>
              </w:rPr>
              <w:t>OA 16</w:t>
            </w:r>
          </w:p>
          <w:p>
            <w:r>
              <w:rPr>
                <w:b w:val="0"/>
                <w:i w:val="0"/>
                <w:color w:val="595959"/>
                <w:sz w:val="14"/>
              </w:rPr>
              <w:t>(B 71 · P 62)</w:t>
            </w:r>
          </w:p>
        </w:tc>
        <w:tc>
          <w:tcPr>
            <w:tcW w:type="dxa" w:w="14967"/>
          </w:tcPr>
          <w:p>
            <w:r>
              <w:rPr>
                <w:b w:val="0"/>
                <w:i w:val="0"/>
                <w:sz w:val="18"/>
              </w:rPr>
              <w:t>Usar consistentemente el estilo directo y el indirecto en textos escritos y orales:</w:t>
            </w:r>
          </w:p>
          <w:p>
            <w:pPr>
              <w:pStyle w:val="ListBullet"/>
              <w:spacing w:after="20"/>
              <w:ind w:left="198" w:hanging="170"/>
            </w:pPr>
            <w:r>
              <w:rPr>
                <w:b w:val="0"/>
                <w:i w:val="0"/>
                <w:sz w:val="18"/>
              </w:rPr>
              <w:t>Empleando adecuadamente los tiempos verbales en estilo indirecto.</w:t>
            </w:r>
          </w:p>
          <w:p>
            <w:pPr>
              <w:pStyle w:val="ListBullet"/>
              <w:spacing w:after="20"/>
              <w:ind w:left="198" w:hanging="170"/>
            </w:pPr>
            <w:r>
              <w:rPr>
                <w:b w:val="0"/>
                <w:i w:val="0"/>
                <w:sz w:val="18"/>
              </w:rPr>
              <w:t>Reflexionando sobre el contraste en aspectos formales y de significado entre estilo directo e indirecto, especialmente en textos del ámbito académico.</w:t>
            </w:r>
          </w:p>
        </w:tc>
      </w:tr>
      <w:tr>
        <w:trPr>
          <w:cantSplit/>
        </w:trPr>
        <w:tc>
          <w:tcPr>
            <w:tcW w:type="dxa" w:w="1701"/>
          </w:tcPr>
          <w:p>
            <w:r>
              <w:rPr>
                <w:b/>
                <w:i w:val="0"/>
                <w:sz w:val="18"/>
              </w:rPr>
              <w:t>OA 17</w:t>
            </w:r>
          </w:p>
          <w:p>
            <w:r>
              <w:rPr>
                <w:b w:val="0"/>
                <w:i w:val="0"/>
                <w:color w:val="595959"/>
                <w:sz w:val="14"/>
              </w:rPr>
              <w:t>(B 71 · P 62)</w:t>
            </w:r>
          </w:p>
        </w:tc>
        <w:tc>
          <w:tcPr>
            <w:tcW w:type="dxa" w:w="14967"/>
          </w:tcPr>
          <w:p>
            <w:r>
              <w:rPr>
                <w:b w:val="0"/>
                <w:i w:val="0"/>
                <w:sz w:val="18"/>
              </w:rPr>
              <w:t>Emplear frases nominales complejas como recurso para compactar la información y establecer correferencia en textos con finalidad expositiva y argumentativa.</w:t>
            </w:r>
          </w:p>
        </w:tc>
      </w:tr>
      <w:tr>
        <w:trPr>
          <w:cantSplit/>
        </w:trPr>
        <w:tc>
          <w:tcPr>
            <w:tcW w:type="dxa" w:w="1701"/>
          </w:tcPr>
          <w:p>
            <w:r>
              <w:rPr>
                <w:b/>
                <w:i w:val="0"/>
                <w:sz w:val="18"/>
              </w:rPr>
              <w:t>OA 18</w:t>
            </w:r>
          </w:p>
          <w:p>
            <w:r>
              <w:rPr>
                <w:b w:val="0"/>
                <w:i w:val="0"/>
                <w:color w:val="595959"/>
                <w:sz w:val="14"/>
              </w:rPr>
              <w:t>(B 71 · P 62)</w:t>
            </w:r>
          </w:p>
        </w:tc>
        <w:tc>
          <w:tcPr>
            <w:tcW w:type="dxa" w:w="14967"/>
          </w:tcPr>
          <w:p>
            <w:r>
              <w:rPr>
                <w:b w:val="0"/>
                <w:i w:val="0"/>
                <w:sz w:val="18"/>
              </w:rPr>
              <w:t>Escribir correctamente para facilitar la comprensión al lector:</w:t>
            </w:r>
          </w:p>
          <w:p>
            <w:pPr>
              <w:pStyle w:val="ListBullet"/>
              <w:spacing w:after="20"/>
              <w:ind w:left="198" w:hanging="170"/>
            </w:pPr>
            <w:r>
              <w:rPr>
                <w:b w:val="0"/>
                <w:i w:val="0"/>
                <w:sz w:val="18"/>
              </w:rPr>
              <w:t>Aplicando todas las reglas de ortografía literal y acentual.</w:t>
            </w:r>
          </w:p>
          <w:p>
            <w:pPr>
              <w:pStyle w:val="ListBullet"/>
              <w:spacing w:after="20"/>
              <w:ind w:left="198" w:hanging="170"/>
            </w:pPr>
            <w:r>
              <w:rPr>
                <w:b w:val="0"/>
                <w:i w:val="0"/>
                <w:sz w:val="18"/>
              </w:rPr>
              <w:t>Verificando la escritura de las palabras cuya ortografía no está sujeta a reglas.</w:t>
            </w:r>
          </w:p>
          <w:p>
            <w:pPr>
              <w:pStyle w:val="ListBullet"/>
              <w:spacing w:after="20"/>
              <w:ind w:left="198" w:hanging="170"/>
            </w:pPr>
            <w:r>
              <w:rPr>
                <w:b w:val="0"/>
                <w:i w:val="0"/>
                <w:sz w:val="18"/>
              </w:rPr>
              <w:t>Usando correctamente el punto, coma, raya, dos puntos, paréntesis, puntos suspensivos, comillas y punto y coma.</w:t>
            </w:r>
          </w:p>
        </w:tc>
      </w:tr>
      <w:tr>
        <w:tc>
          <w:tcPr>
            <w:tcW w:type="dxa" w:w="16668"/>
            <w:gridSpan w:val="2"/>
          </w:tcPr>
          <w:p>
            <w:r/>
            <w:r>
              <w:rPr>
                <w:b/>
                <w:i w:val="0"/>
                <w:sz w:val="18"/>
              </w:rPr>
              <w:t>COMUNICACIÓN ORAL</w:t>
            </w:r>
          </w:p>
        </w:tc>
      </w:tr>
      <w:tr>
        <w:trPr>
          <w:cantSplit/>
        </w:trPr>
        <w:tc>
          <w:tcPr>
            <w:tcW w:type="dxa" w:w="1701"/>
          </w:tcPr>
          <w:p>
            <w:r>
              <w:rPr>
                <w:b/>
                <w:i w:val="0"/>
                <w:sz w:val="18"/>
              </w:rPr>
              <w:t>OA 19</w:t>
            </w:r>
          </w:p>
          <w:p>
            <w:r>
              <w:rPr>
                <w:b w:val="0"/>
                <w:i w:val="0"/>
                <w:color w:val="595959"/>
                <w:sz w:val="14"/>
              </w:rPr>
              <w:t>(B 72 · P 63)</w:t>
            </w:r>
          </w:p>
        </w:tc>
        <w:tc>
          <w:tcPr>
            <w:tcW w:type="dxa" w:w="14967"/>
          </w:tcPr>
          <w:p>
            <w:r>
              <w:rPr>
                <w:b w:val="0"/>
                <w:i w:val="0"/>
                <w:sz w:val="18"/>
              </w:rPr>
              <w:t>Comprender, comparar y evaluar textos orales y audiovisuales, tales como exposiciones, discursos, documentales, noticias, reportajes, etc., considerando:</w:t>
            </w:r>
          </w:p>
          <w:p>
            <w:pPr>
              <w:pStyle w:val="ListBullet"/>
              <w:spacing w:after="20"/>
              <w:ind w:left="198" w:hanging="170"/>
            </w:pPr>
            <w:r>
              <w:rPr>
                <w:b w:val="0"/>
                <w:i w:val="0"/>
                <w:sz w:val="18"/>
              </w:rPr>
              <w:t>Su postura personal frente a lo escuchado y argumentos que la sustenten.</w:t>
            </w:r>
          </w:p>
          <w:p>
            <w:pPr>
              <w:pStyle w:val="ListBullet"/>
              <w:spacing w:after="20"/>
              <w:ind w:left="198" w:hanging="170"/>
            </w:pPr>
            <w:r>
              <w:rPr>
                <w:b w:val="0"/>
                <w:i w:val="0"/>
                <w:sz w:val="18"/>
              </w:rPr>
              <w:t>Una ordenación de la información en términos de su relevancia.</w:t>
            </w:r>
          </w:p>
          <w:p>
            <w:pPr>
              <w:pStyle w:val="ListBullet"/>
              <w:spacing w:after="20"/>
              <w:ind w:left="198" w:hanging="170"/>
            </w:pPr>
            <w:r>
              <w:rPr>
                <w:b w:val="0"/>
                <w:i w:val="0"/>
                <w:sz w:val="18"/>
              </w:rPr>
              <w:t>El contexto en el que se enmarcan los textos.</w:t>
            </w:r>
          </w:p>
          <w:p>
            <w:pPr>
              <w:pStyle w:val="ListBullet"/>
              <w:spacing w:after="20"/>
              <w:ind w:left="198" w:hanging="170"/>
            </w:pPr>
            <w:r>
              <w:rPr>
                <w:b w:val="0"/>
                <w:i w:val="0"/>
                <w:sz w:val="18"/>
              </w:rPr>
              <w:t>El uso de estereotipos, clichés y generalizaciones.</w:t>
            </w:r>
          </w:p>
          <w:p>
            <w:pPr>
              <w:pStyle w:val="ListBullet"/>
              <w:spacing w:after="20"/>
              <w:ind w:left="198" w:hanging="170"/>
            </w:pPr>
            <w:r>
              <w:rPr>
                <w:b w:val="0"/>
                <w:i w:val="0"/>
                <w:sz w:val="18"/>
              </w:rPr>
              <w:t>Los argumentos y elementos de persuasión que usa el hablante para sostener una postura.</w:t>
            </w:r>
          </w:p>
          <w:p>
            <w:pPr>
              <w:pStyle w:val="ListBullet"/>
              <w:spacing w:after="20"/>
              <w:ind w:left="198" w:hanging="170"/>
            </w:pPr>
            <w:r>
              <w:rPr>
                <w:b w:val="0"/>
                <w:i w:val="0"/>
                <w:sz w:val="18"/>
              </w:rPr>
              <w:t>Diferentes puntos de vista expresados en los textos.</w:t>
            </w:r>
          </w:p>
          <w:p>
            <w:pPr>
              <w:pStyle w:val="ListBullet"/>
              <w:spacing w:after="20"/>
              <w:ind w:left="198" w:hanging="170"/>
            </w:pPr>
            <w:r>
              <w:rPr>
                <w:b w:val="0"/>
                <w:i w:val="0"/>
                <w:sz w:val="18"/>
              </w:rPr>
              <w:t>La contribución de imágenes y sonido al significado del texto.</w:t>
            </w:r>
          </w:p>
          <w:p>
            <w:pPr>
              <w:pStyle w:val="ListBullet"/>
              <w:spacing w:after="20"/>
              <w:ind w:left="198" w:hanging="170"/>
            </w:pPr>
            <w:r>
              <w:rPr>
                <w:b w:val="0"/>
                <w:i w:val="0"/>
                <w:sz w:val="18"/>
              </w:rPr>
              <w:t>Las relaciones que se establecen entre imágenes, texto y sonido.</w:t>
            </w:r>
          </w:p>
          <w:p>
            <w:pPr>
              <w:pStyle w:val="ListBullet"/>
              <w:spacing w:after="20"/>
              <w:ind w:left="198" w:hanging="170"/>
            </w:pPr>
            <w:r>
              <w:rPr>
                <w:b w:val="0"/>
                <w:i w:val="0"/>
                <w:sz w:val="18"/>
              </w:rPr>
              <w:t>Relaciones entre lo escuchado y los temas y obras estudiados durante el curso.</w:t>
            </w:r>
          </w:p>
        </w:tc>
      </w:tr>
      <w:tr>
        <w:trPr>
          <w:cantSplit/>
        </w:trPr>
        <w:tc>
          <w:tcPr>
            <w:tcW w:type="dxa" w:w="1701"/>
          </w:tcPr>
          <w:p>
            <w:r>
              <w:rPr>
                <w:b/>
                <w:i w:val="0"/>
                <w:sz w:val="18"/>
              </w:rPr>
              <w:t>OA 20</w:t>
            </w:r>
          </w:p>
          <w:p>
            <w:r>
              <w:rPr>
                <w:b w:val="0"/>
                <w:i w:val="0"/>
                <w:color w:val="595959"/>
                <w:sz w:val="14"/>
              </w:rPr>
              <w:t>(B 72 · P 63)</w:t>
            </w:r>
          </w:p>
        </w:tc>
        <w:tc>
          <w:tcPr>
            <w:tcW w:type="dxa" w:w="14967"/>
          </w:tcPr>
          <w:p>
            <w:r>
              <w:rPr>
                <w:b w:val="0"/>
                <w:i w:val="0"/>
                <w:sz w:val="18"/>
              </w:rPr>
              <w:t>Evaluar el punto de vista de un emisor, su razonamiento y uso de recursos retóricos (vocabulario, organización de las ideas, desarrollo y progresión de los argumentos, etc.).</w:t>
            </w:r>
          </w:p>
        </w:tc>
      </w:tr>
      <w:tr>
        <w:trPr>
          <w:cantSplit/>
        </w:trPr>
        <w:tc>
          <w:tcPr>
            <w:tcW w:type="dxa" w:w="1701"/>
          </w:tcPr>
          <w:p>
            <w:r>
              <w:rPr>
                <w:b/>
                <w:i w:val="0"/>
                <w:sz w:val="18"/>
              </w:rPr>
              <w:t>OA 21</w:t>
            </w:r>
          </w:p>
          <w:p>
            <w:r>
              <w:rPr>
                <w:b w:val="0"/>
                <w:i w:val="0"/>
                <w:color w:val="595959"/>
                <w:sz w:val="14"/>
              </w:rPr>
              <w:t>(B 72 · P 63)</w:t>
            </w:r>
          </w:p>
        </w:tc>
        <w:tc>
          <w:tcPr>
            <w:tcW w:type="dxa" w:w="14967"/>
          </w:tcPr>
          <w:p>
            <w:r>
              <w:rPr>
                <w:b w:val="0"/>
                <w:i w:val="0"/>
                <w:sz w:val="18"/>
              </w:rPr>
              <w:t>Dialogar constructivamente para debatir o explorar ideas:</w:t>
            </w:r>
          </w:p>
          <w:p>
            <w:pPr>
              <w:pStyle w:val="ListBullet"/>
              <w:spacing w:after="20"/>
              <w:ind w:left="198" w:hanging="170"/>
            </w:pPr>
            <w:r>
              <w:rPr>
                <w:b w:val="0"/>
                <w:i w:val="0"/>
                <w:sz w:val="18"/>
              </w:rPr>
              <w:t>Manteniendo el foco.</w:t>
            </w:r>
          </w:p>
          <w:p>
            <w:pPr>
              <w:pStyle w:val="ListBullet"/>
              <w:spacing w:after="20"/>
              <w:ind w:left="198" w:hanging="170"/>
            </w:pPr>
            <w:r>
              <w:rPr>
                <w:b w:val="0"/>
                <w:i w:val="0"/>
                <w:sz w:val="18"/>
              </w:rPr>
              <w:t>Demostrando comprensión de lo dicho por el interlocutor.</w:t>
            </w:r>
          </w:p>
          <w:p>
            <w:pPr>
              <w:pStyle w:val="ListBullet"/>
              <w:spacing w:after="20"/>
              <w:ind w:left="198" w:hanging="170"/>
            </w:pPr>
            <w:r>
              <w:rPr>
                <w:b w:val="0"/>
                <w:i w:val="0"/>
                <w:sz w:val="18"/>
              </w:rPr>
              <w:t>Fundamentando su postura de manera pertinente y usando información que permita cumplir los propósitos establecidos.</w:t>
            </w:r>
          </w:p>
          <w:p>
            <w:pPr>
              <w:pStyle w:val="ListBullet"/>
              <w:spacing w:after="20"/>
              <w:ind w:left="198" w:hanging="170"/>
            </w:pPr>
            <w:r>
              <w:rPr>
                <w:b w:val="0"/>
                <w:i w:val="0"/>
                <w:sz w:val="18"/>
              </w:rPr>
              <w:t>Distinguiendo afirmaciones basadas en evidencias de aquellas que no lo están.</w:t>
            </w:r>
          </w:p>
          <w:p>
            <w:pPr>
              <w:pStyle w:val="ListBullet"/>
              <w:spacing w:after="20"/>
              <w:ind w:left="198" w:hanging="170"/>
            </w:pPr>
            <w:r>
              <w:rPr>
                <w:b w:val="0"/>
                <w:i w:val="0"/>
                <w:sz w:val="18"/>
              </w:rPr>
              <w:t>Retomando lo dicho por otros a través del parafraseo antes de contribuir con una idea nueva o refutar un argumento.</w:t>
            </w:r>
          </w:p>
          <w:p>
            <w:pPr>
              <w:pStyle w:val="ListBullet"/>
              <w:spacing w:after="20"/>
              <w:ind w:left="198" w:hanging="170"/>
            </w:pPr>
            <w:r>
              <w:rPr>
                <w:b w:val="0"/>
                <w:i w:val="0"/>
                <w:sz w:val="18"/>
              </w:rPr>
              <w:t>Negociando acuerdos con los interlocutores.</w:t>
            </w:r>
          </w:p>
          <w:p>
            <w:pPr>
              <w:pStyle w:val="ListBullet"/>
              <w:spacing w:after="20"/>
              <w:ind w:left="198" w:hanging="170"/>
            </w:pPr>
            <w:r>
              <w:rPr>
                <w:b w:val="0"/>
                <w:i w:val="0"/>
                <w:sz w:val="18"/>
              </w:rPr>
              <w:t>Reformulando sus comentarios para desarrollarlos mejor.</w:t>
            </w:r>
          </w:p>
          <w:p>
            <w:pPr>
              <w:pStyle w:val="ListBullet"/>
              <w:spacing w:after="20"/>
              <w:ind w:left="198" w:hanging="170"/>
            </w:pPr>
            <w:r>
              <w:rPr>
                <w:b w:val="0"/>
                <w:i w:val="0"/>
                <w:sz w:val="18"/>
              </w:rPr>
              <w:t>Considerando al interlocutor para la toma de turnos.</w:t>
            </w:r>
          </w:p>
        </w:tc>
      </w:tr>
      <w:tr>
        <w:trPr>
          <w:cantSplit/>
        </w:trPr>
        <w:tc>
          <w:tcPr>
            <w:tcW w:type="dxa" w:w="1701"/>
          </w:tcPr>
          <w:p>
            <w:r>
              <w:rPr>
                <w:b/>
                <w:i w:val="0"/>
                <w:sz w:val="18"/>
              </w:rPr>
              <w:t>OA 22</w:t>
            </w:r>
          </w:p>
          <w:p>
            <w:r>
              <w:rPr>
                <w:b w:val="0"/>
                <w:i w:val="0"/>
                <w:color w:val="595959"/>
                <w:sz w:val="14"/>
              </w:rPr>
              <w:t>(B 72 · P 63)</w:t>
            </w:r>
          </w:p>
        </w:tc>
        <w:tc>
          <w:tcPr>
            <w:tcW w:type="dxa" w:w="14967"/>
          </w:tcPr>
          <w:p>
            <w:r>
              <w:rPr>
                <w:b w:val="0"/>
                <w:i w:val="0"/>
                <w:sz w:val="18"/>
              </w:rPr>
              <w:t>Expresarse frente a una audiencia de manera clara y adecuada a la situación para comunicar temas de su interés:</w:t>
            </w:r>
          </w:p>
          <w:p>
            <w:pPr>
              <w:pStyle w:val="ListBullet"/>
              <w:spacing w:after="20"/>
              <w:ind w:left="198" w:hanging="170"/>
            </w:pPr>
            <w:r>
              <w:rPr>
                <w:b w:val="0"/>
                <w:i w:val="0"/>
                <w:sz w:val="18"/>
              </w:rPr>
              <w:t>Presentando información fidedigna y que denota una investigación previa.</w:t>
            </w:r>
          </w:p>
          <w:p>
            <w:pPr>
              <w:pStyle w:val="ListBullet"/>
              <w:spacing w:after="20"/>
              <w:ind w:left="198" w:hanging="170"/>
            </w:pPr>
            <w:r>
              <w:rPr>
                <w:b w:val="0"/>
                <w:i w:val="0"/>
                <w:sz w:val="18"/>
              </w:rPr>
              <w:t>Siguiendo una progresión temática clara.</w:t>
            </w:r>
          </w:p>
          <w:p>
            <w:pPr>
              <w:pStyle w:val="ListBullet"/>
              <w:spacing w:after="20"/>
              <w:ind w:left="198" w:hanging="170"/>
            </w:pPr>
            <w:r>
              <w:rPr>
                <w:b w:val="0"/>
                <w:i w:val="0"/>
                <w:sz w:val="18"/>
              </w:rPr>
              <w:t>Graduando la cantidad de información que se entrega en cada parte de la exposición para asegurarse de que la audiencia comprenda.</w:t>
            </w:r>
          </w:p>
          <w:p>
            <w:pPr>
              <w:pStyle w:val="ListBullet"/>
              <w:spacing w:after="20"/>
              <w:ind w:left="198" w:hanging="170"/>
            </w:pPr>
            <w:r>
              <w:rPr>
                <w:b w:val="0"/>
                <w:i w:val="0"/>
                <w:sz w:val="18"/>
              </w:rPr>
              <w:t>Usando un vocabulario que denota dominio del tema.</w:t>
            </w:r>
          </w:p>
          <w:p>
            <w:pPr>
              <w:pStyle w:val="ListBullet"/>
              <w:spacing w:after="20"/>
              <w:ind w:left="198" w:hanging="170"/>
            </w:pPr>
            <w:r>
              <w:rPr>
                <w:b w:val="0"/>
                <w:i w:val="0"/>
                <w:sz w:val="18"/>
              </w:rPr>
              <w:t>Usando conectores adecuados para hilar la presentación.</w:t>
            </w:r>
          </w:p>
          <w:p>
            <w:pPr>
              <w:pStyle w:val="ListBullet"/>
              <w:spacing w:after="20"/>
              <w:ind w:left="198" w:hanging="170"/>
            </w:pPr>
            <w:r>
              <w:rPr>
                <w:b w:val="0"/>
                <w:i w:val="0"/>
                <w:sz w:val="18"/>
              </w:rPr>
              <w:t>Usando material visual que destaque solo lo más relevante y/o explique los conceptos más complejos.</w:t>
            </w:r>
          </w:p>
        </w:tc>
      </w:tr>
      <w:tr>
        <w:trPr>
          <w:cantSplit/>
        </w:trPr>
        <w:tc>
          <w:tcPr>
            <w:tcW w:type="dxa" w:w="1701"/>
          </w:tcPr>
          <w:p>
            <w:r>
              <w:rPr>
                <w:b/>
                <w:i w:val="0"/>
                <w:sz w:val="18"/>
              </w:rPr>
              <w:t>OA 23</w:t>
            </w:r>
          </w:p>
          <w:p>
            <w:r>
              <w:rPr>
                <w:b w:val="0"/>
                <w:i w:val="0"/>
                <w:color w:val="595959"/>
                <w:sz w:val="14"/>
              </w:rPr>
              <w:t>(B 72 · P 63)</w:t>
            </w:r>
          </w:p>
        </w:tc>
        <w:tc>
          <w:tcPr>
            <w:tcW w:type="dxa" w:w="14967"/>
          </w:tcPr>
          <w:p>
            <w:r>
              <w:rPr>
                <w:b w:val="0"/>
                <w:i w:val="0"/>
                <w:sz w:val="18"/>
              </w:rPr>
              <w:t>Analizar los posibles efectos de los elementos lingüísticos, paralingüísticos y no lingüísticos que usa un hablante en una situación determinada.</w:t>
            </w:r>
          </w:p>
        </w:tc>
      </w:tr>
      <w:tr>
        <w:tc>
          <w:tcPr>
            <w:tcW w:type="dxa" w:w="16668"/>
            <w:gridSpan w:val="2"/>
          </w:tcPr>
          <w:p>
            <w:r/>
            <w:r>
              <w:rPr>
                <w:b/>
                <w:i w:val="0"/>
                <w:sz w:val="18"/>
              </w:rPr>
              <w:t>INVESTIGACIÓN SOBRE LENGUA Y LITERATURA</w:t>
            </w:r>
          </w:p>
        </w:tc>
      </w:tr>
      <w:tr>
        <w:trPr>
          <w:cantSplit/>
        </w:trPr>
        <w:tc>
          <w:tcPr>
            <w:tcW w:type="dxa" w:w="1701"/>
          </w:tcPr>
          <w:p>
            <w:r>
              <w:rPr>
                <w:b/>
                <w:i w:val="0"/>
                <w:sz w:val="18"/>
              </w:rPr>
              <w:t>OA 24</w:t>
            </w:r>
          </w:p>
          <w:p>
            <w:r>
              <w:rPr>
                <w:b w:val="0"/>
                <w:i w:val="0"/>
                <w:color w:val="595959"/>
                <w:sz w:val="14"/>
              </w:rPr>
              <w:t>(B 73 · P 64)</w:t>
            </w:r>
          </w:p>
        </w:tc>
        <w:tc>
          <w:tcPr>
            <w:tcW w:type="dxa" w:w="14967"/>
          </w:tcPr>
          <w:p>
            <w:r>
              <w:rPr>
                <w:b w:val="0"/>
                <w:i w:val="0"/>
                <w:sz w:val="18"/>
              </w:rPr>
              <w:t>Realizar investigaciones sobre diversos temas para complementar sus lecturas o responder interrogantes relacionadas con el lenguaje y la literatura:</w:t>
            </w:r>
          </w:p>
          <w:p>
            <w:pPr>
              <w:pStyle w:val="ListBullet"/>
              <w:spacing w:after="20"/>
              <w:ind w:left="198" w:hanging="170"/>
            </w:pPr>
            <w:r>
              <w:rPr>
                <w:b w:val="0"/>
                <w:i w:val="0"/>
                <w:sz w:val="18"/>
              </w:rPr>
              <w:t>Delimitando el tema de investigación.</w:t>
            </w:r>
          </w:p>
          <w:p>
            <w:pPr>
              <w:pStyle w:val="ListBullet"/>
              <w:spacing w:after="20"/>
              <w:ind w:left="198" w:hanging="170"/>
            </w:pPr>
            <w:r>
              <w:rPr>
                <w:b w:val="0"/>
                <w:i w:val="0"/>
                <w:sz w:val="18"/>
              </w:rPr>
              <w:t>Seleccionando páginas y fuentes según la profundidad y la cobertura de la información que buscan.</w:t>
            </w:r>
          </w:p>
          <w:p>
            <w:pPr>
              <w:pStyle w:val="ListBullet"/>
              <w:spacing w:after="20"/>
              <w:ind w:left="198" w:hanging="170"/>
            </w:pPr>
            <w:r>
              <w:rPr>
                <w:b w:val="0"/>
                <w:i w:val="0"/>
                <w:sz w:val="18"/>
              </w:rPr>
              <w:t>Usando los organizadores y la estructura textual para encontrar información de manera eficiente.</w:t>
            </w:r>
          </w:p>
          <w:p>
            <w:pPr>
              <w:pStyle w:val="ListBullet"/>
              <w:spacing w:after="20"/>
              <w:ind w:left="198" w:hanging="170"/>
            </w:pPr>
            <w:r>
              <w:rPr>
                <w:b w:val="0"/>
                <w:i w:val="0"/>
                <w:sz w:val="18"/>
              </w:rPr>
              <w:t>Evaluando si los textos entregan suficiente información para responder una determinada pregunta o cumplir un propósito.</w:t>
            </w:r>
          </w:p>
          <w:p>
            <w:pPr>
              <w:pStyle w:val="ListBullet"/>
              <w:spacing w:after="20"/>
              <w:ind w:left="198" w:hanging="170"/>
            </w:pPr>
            <w:r>
              <w:rPr>
                <w:b w:val="0"/>
                <w:i w:val="0"/>
                <w:sz w:val="18"/>
              </w:rPr>
              <w:t>Evaluando la validez y confiabilidad de las fuentes consultadas.</w:t>
            </w:r>
          </w:p>
          <w:p>
            <w:pPr>
              <w:pStyle w:val="ListBullet"/>
              <w:spacing w:after="20"/>
              <w:ind w:left="198" w:hanging="170"/>
            </w:pPr>
            <w:r>
              <w:rPr>
                <w:b w:val="0"/>
                <w:i w:val="0"/>
                <w:sz w:val="18"/>
              </w:rPr>
              <w:t>Jerarquizando la información encontrada en las fuentes investigadas.</w:t>
            </w:r>
          </w:p>
          <w:p>
            <w:pPr>
              <w:pStyle w:val="ListBullet"/>
              <w:spacing w:after="20"/>
              <w:ind w:left="198" w:hanging="170"/>
            </w:pPr>
            <w:r>
              <w:rPr>
                <w:b w:val="0"/>
                <w:i w:val="0"/>
                <w:sz w:val="18"/>
              </w:rPr>
              <w:t>Registrando la información bibliográfica de las fuentes consultadas.</w:t>
            </w:r>
          </w:p>
          <w:p>
            <w:pPr>
              <w:pStyle w:val="ListBullet"/>
              <w:spacing w:after="20"/>
              <w:ind w:left="198" w:hanging="170"/>
            </w:pPr>
            <w:r>
              <w:rPr>
                <w:b w:val="0"/>
                <w:i w:val="0"/>
                <w:sz w:val="18"/>
              </w:rPr>
              <w:t>Elaborando un texto oral o escrito bien estructurado que comunique sus hallazgos.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65)</w:t>
            </w:r>
          </w:p>
        </w:tc>
        <w:tc>
          <w:tcPr>
            <w:tcW w:type="dxa" w:w="14967"/>
          </w:tcPr>
          <w:p>
            <w:r>
              <w:rPr>
                <w:b w:val="0"/>
                <w:i w:val="0"/>
                <w:sz w:val="18"/>
              </w:rPr>
              <w:t>Manifestar disposición a formarse un pensamiento propio, reflexivo e informado, mediante una lectura crítica y el diálogo con otros.</w:t>
            </w:r>
          </w:p>
        </w:tc>
      </w:tr>
      <w:tr>
        <w:trPr>
          <w:cantSplit/>
        </w:trPr>
        <w:tc>
          <w:tcPr>
            <w:tcW w:type="dxa" w:w="1701"/>
          </w:tcPr>
          <w:p>
            <w:r>
              <w:rPr>
                <w:b/>
                <w:i w:val="0"/>
                <w:sz w:val="18"/>
              </w:rPr>
              <w:t>OA B</w:t>
            </w:r>
          </w:p>
          <w:p>
            <w:r>
              <w:rPr>
                <w:b w:val="0"/>
                <w:i w:val="0"/>
                <w:color w:val="595959"/>
                <w:sz w:val="14"/>
              </w:rPr>
              <w:t>(P 65)</w:t>
            </w:r>
          </w:p>
        </w:tc>
        <w:tc>
          <w:tcPr>
            <w:tcW w:type="dxa" w:w="14967"/>
          </w:tcPr>
          <w:p>
            <w:r>
              <w:rPr>
                <w:b w:val="0"/>
                <w:i w:val="0"/>
                <w:sz w:val="18"/>
              </w:rPr>
              <w:t>Manifestar una disposición a reflexionar sobre sí mismo y sobre las cuestiones sociales y éticas que emanan de las lecturas.</w:t>
            </w:r>
          </w:p>
        </w:tc>
      </w:tr>
      <w:tr>
        <w:trPr>
          <w:cantSplit/>
        </w:trPr>
        <w:tc>
          <w:tcPr>
            <w:tcW w:type="dxa" w:w="1701"/>
          </w:tcPr>
          <w:p>
            <w:r>
              <w:rPr>
                <w:b/>
                <w:i w:val="0"/>
                <w:sz w:val="18"/>
              </w:rPr>
              <w:t>OA C</w:t>
            </w:r>
          </w:p>
          <w:p>
            <w:r>
              <w:rPr>
                <w:b w:val="0"/>
                <w:i w:val="0"/>
                <w:color w:val="595959"/>
                <w:sz w:val="14"/>
              </w:rPr>
              <w:t>(P 65)</w:t>
            </w:r>
          </w:p>
        </w:tc>
        <w:tc>
          <w:tcPr>
            <w:tcW w:type="dxa" w:w="14967"/>
          </w:tcPr>
          <w:p>
            <w:r>
              <w:rPr>
                <w:b w:val="0"/>
                <w:i w:val="0"/>
                <w:sz w:val="18"/>
              </w:rPr>
              <w:t>Interesarse por comprender las experiencias e ideas de los demás, utilizando la lectura y el diálogo para el enriquecimiento personal y para la construcción de buenas relaciones con los demás.</w:t>
            </w:r>
          </w:p>
        </w:tc>
      </w:tr>
      <w:tr>
        <w:trPr>
          <w:cantSplit/>
        </w:trPr>
        <w:tc>
          <w:tcPr>
            <w:tcW w:type="dxa" w:w="1701"/>
          </w:tcPr>
          <w:p>
            <w:r>
              <w:rPr>
                <w:b/>
                <w:i w:val="0"/>
                <w:sz w:val="18"/>
              </w:rPr>
              <w:t>OA D</w:t>
            </w:r>
          </w:p>
          <w:p>
            <w:r>
              <w:rPr>
                <w:b w:val="0"/>
                <w:i w:val="0"/>
                <w:color w:val="595959"/>
                <w:sz w:val="14"/>
              </w:rPr>
              <w:t>(P 65)</w:t>
            </w:r>
          </w:p>
        </w:tc>
        <w:tc>
          <w:tcPr>
            <w:tcW w:type="dxa" w:w="14967"/>
          </w:tcPr>
          <w:p>
            <w:r>
              <w:rPr>
                <w:b w:val="0"/>
                <w:i w:val="0"/>
                <w:sz w:val="18"/>
              </w:rPr>
              <w:t>Valorar la diversidad de perspectivas, creencias y culturas, presentes en su entorno y el mundo, como manifestación de la libertad, creatividad y dignidad humana.</w:t>
            </w:r>
          </w:p>
        </w:tc>
      </w:tr>
      <w:tr>
        <w:trPr>
          <w:cantSplit/>
        </w:trPr>
        <w:tc>
          <w:tcPr>
            <w:tcW w:type="dxa" w:w="1701"/>
          </w:tcPr>
          <w:p>
            <w:r>
              <w:rPr>
                <w:b/>
                <w:i w:val="0"/>
                <w:sz w:val="18"/>
              </w:rPr>
              <w:t>OA E</w:t>
            </w:r>
          </w:p>
          <w:p>
            <w:r>
              <w:rPr>
                <w:b w:val="0"/>
                <w:i w:val="0"/>
                <w:color w:val="595959"/>
                <w:sz w:val="14"/>
              </w:rPr>
              <w:t>(P 66)</w:t>
            </w:r>
          </w:p>
        </w:tc>
        <w:tc>
          <w:tcPr>
            <w:tcW w:type="dxa" w:w="14967"/>
          </w:tcPr>
          <w:p>
            <w:r>
              <w:rPr>
                <w:b w:val="0"/>
                <w:i w:val="0"/>
                <w:sz w:val="18"/>
              </w:rPr>
              <w:t>Valorar las posibilidades que da el discurso hablado y escrito para participar de manera proactiva, informada y responsable en la vida de la sociedad democrática.</w:t>
            </w:r>
          </w:p>
        </w:tc>
      </w:tr>
      <w:tr>
        <w:trPr>
          <w:cantSplit/>
        </w:trPr>
        <w:tc>
          <w:tcPr>
            <w:tcW w:type="dxa" w:w="1701"/>
          </w:tcPr>
          <w:p>
            <w:r>
              <w:rPr>
                <w:b/>
                <w:i w:val="0"/>
                <w:sz w:val="18"/>
              </w:rPr>
              <w:t>OA F</w:t>
            </w:r>
          </w:p>
          <w:p>
            <w:r>
              <w:rPr>
                <w:b w:val="0"/>
                <w:i w:val="0"/>
                <w:color w:val="595959"/>
                <w:sz w:val="14"/>
              </w:rPr>
              <w:t>(P 66)</w:t>
            </w:r>
          </w:p>
        </w:tc>
        <w:tc>
          <w:tcPr>
            <w:tcW w:type="dxa" w:w="14967"/>
          </w:tcPr>
          <w:p>
            <w:r>
              <w:rPr>
                <w:b w:val="0"/>
                <w:i w:val="0"/>
                <w:sz w:val="18"/>
              </w:rPr>
              <w:t>Valorar la evidencia y la búsqueda de conocimientos que apoyen sus aseveraciones.</w:t>
            </w:r>
          </w:p>
        </w:tc>
      </w:tr>
      <w:tr>
        <w:trPr>
          <w:cantSplit/>
        </w:trPr>
        <w:tc>
          <w:tcPr>
            <w:tcW w:type="dxa" w:w="1701"/>
          </w:tcPr>
          <w:p>
            <w:r>
              <w:rPr>
                <w:b/>
                <w:i w:val="0"/>
                <w:sz w:val="18"/>
              </w:rPr>
              <w:t>OA G</w:t>
            </w:r>
          </w:p>
          <w:p>
            <w:r>
              <w:rPr>
                <w:b w:val="0"/>
                <w:i w:val="0"/>
                <w:color w:val="595959"/>
                <w:sz w:val="14"/>
              </w:rPr>
              <w:t>(P 66)</w:t>
            </w:r>
          </w:p>
        </w:tc>
        <w:tc>
          <w:tcPr>
            <w:tcW w:type="dxa" w:w="14967"/>
          </w:tcPr>
          <w:p>
            <w:r>
              <w:rPr>
                <w:b w:val="0"/>
                <w:i w:val="0"/>
                <w:sz w:val="18"/>
              </w:rPr>
              <w:t>Realizar tareas y trabajos de forma rigurosa y perseverante, entendiendo que los logros se obtienen solo después de un trabajo prolongado.</w:t>
            </w:r>
          </w:p>
        </w:tc>
      </w:tr>
      <w:tr>
        <w:trPr>
          <w:cantSplit/>
        </w:trPr>
        <w:tc>
          <w:tcPr>
            <w:tcW w:type="dxa" w:w="1701"/>
          </w:tcPr>
          <w:p>
            <w:r>
              <w:rPr>
                <w:b/>
                <w:i w:val="0"/>
                <w:sz w:val="18"/>
              </w:rPr>
              <w:t>OA H</w:t>
            </w:r>
          </w:p>
          <w:p>
            <w:r>
              <w:rPr>
                <w:b w:val="0"/>
                <w:i w:val="0"/>
                <w:color w:val="595959"/>
                <w:sz w:val="14"/>
              </w:rPr>
              <w:t>(P 66)</w:t>
            </w:r>
          </w:p>
        </w:tc>
        <w:tc>
          <w:tcPr>
            <w:tcW w:type="dxa" w:w="14967"/>
          </w:tcPr>
          <w:p>
            <w:r>
              <w:rPr>
                <w:b w:val="0"/>
                <w:i w:val="0"/>
                <w:sz w:val="18"/>
              </w:rPr>
              <w:t>Trabajar colaborativamente, usando de manera responsable las tecnologías de la comunicación,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 y Literatura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 y Literatura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 y Literatura · 2° medio</dc:title>
  <dc:subject/>
  <dc:creator/>
  <cp:keywords/>
  <dc:description>Generado el 2026-10-23 desde programa_lengua_2medio.pdf (sha256 90bdd471a8d1) con plantilla_anual.md v1.0.</dc:description>
  <cp:lastModifiedBy/>
  <cp:revision>1</cp:revision>
  <dcterms:created xsi:type="dcterms:W3CDTF">2013-12-23T23:15:00Z</dcterms:created>
  <dcterms:modified xsi:type="dcterms:W3CDTF">2013-12-23T23:15:00Z</dcterms:modified>
  <cp:category/>
</cp:coreProperties>
</file>