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Lengua y Literatura · 7° básico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Lengua y Literatura</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7° básico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6 h pedagógicas semanales · 228 h anuales (38 semanas)</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614/2013 y DS 369/2015 · Programa de Estudio Decreto Exento N° 628/2016</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7° básico, los estudiantes leen, comentan y escriben a partir de obras literarias y textos no literarios organizados en torno a temas (el héroe, la amistad, la mitología, la identidad, la poesía popular, el terror y los medios de comunicación), para desarrollar la comprensión, la interpretación, la argumentación y la comunicación oral, y formarse como lectores críticos y autónomos.</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El héroe en distintas épocas</w:t>
            </w:r>
          </w:p>
        </w:tc>
        <w:tc>
          <w:tcPr>
            <w:tcW w:type="dxa" w:w="5329"/>
          </w:tcPr>
          <w:p>
            <w:pPr>
              <w:keepNext/>
            </w:pPr>
            <w:r>
              <w:rPr>
                <w:b w:val="0"/>
                <w:i w:val="0"/>
                <w:sz w:val="18"/>
              </w:rPr>
              <w:t>Semanas 1 a 5</w:t>
            </w:r>
          </w:p>
        </w:tc>
        <w:tc>
          <w:tcPr>
            <w:tcW w:type="dxa" w:w="2268"/>
          </w:tcPr>
          <w:p>
            <w:pPr>
              <w:keepNext/>
            </w:pPr>
            <w:r>
              <w:rPr>
                <w:b w:val="0"/>
                <w:i w:val="0"/>
                <w:sz w:val="18"/>
              </w:rPr>
              <w:t>≈ 6</w:t>
            </w:r>
          </w:p>
        </w:tc>
        <w:tc>
          <w:tcPr>
            <w:tcW w:type="dxa" w:w="2268"/>
          </w:tcPr>
          <w:p>
            <w:pPr>
              <w:keepNext/>
            </w:pPr>
            <w:r>
              <w:rPr>
                <w:b w:val="0"/>
                <w:i w:val="0"/>
                <w:sz w:val="18"/>
              </w:rPr>
              <w:t>34</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La solidaridad y la amistad</w:t>
            </w:r>
          </w:p>
        </w:tc>
        <w:tc>
          <w:tcPr>
            <w:tcW w:type="dxa" w:w="5329"/>
          </w:tcPr>
          <w:p>
            <w:pPr>
              <w:keepNext/>
            </w:pPr>
            <w:r>
              <w:rPr>
                <w:b w:val="0"/>
                <w:i w:val="0"/>
                <w:sz w:val="18"/>
              </w:rPr>
              <w:t>Semanas 6 a 9</w:t>
            </w:r>
          </w:p>
        </w:tc>
        <w:tc>
          <w:tcPr>
            <w:tcW w:type="dxa" w:w="2268"/>
          </w:tcPr>
          <w:p>
            <w:pPr>
              <w:keepNext/>
            </w:pPr>
            <w:r>
              <w:rPr>
                <w:b w:val="0"/>
                <w:i w:val="0"/>
                <w:sz w:val="18"/>
              </w:rPr>
              <w:t>≈ 5</w:t>
            </w:r>
          </w:p>
        </w:tc>
        <w:tc>
          <w:tcPr>
            <w:tcW w:type="dxa" w:w="2268"/>
          </w:tcPr>
          <w:p>
            <w:pPr>
              <w:keepNext/>
            </w:pPr>
            <w:r>
              <w:rPr>
                <w:b w:val="0"/>
                <w:i w:val="0"/>
                <w:sz w:val="18"/>
              </w:rPr>
              <w:t>31</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3: Mitología y relatos de creación</w:t>
            </w:r>
          </w:p>
        </w:tc>
        <w:tc>
          <w:tcPr>
            <w:tcW w:type="dxa" w:w="5329"/>
          </w:tcPr>
          <w:p>
            <w:pPr>
              <w:keepNext/>
            </w:pPr>
            <w:r>
              <w:rPr>
                <w:b w:val="0"/>
                <w:i w:val="0"/>
                <w:sz w:val="18"/>
              </w:rPr>
              <w:t>Semanas 10 a 14</w:t>
            </w:r>
          </w:p>
        </w:tc>
        <w:tc>
          <w:tcPr>
            <w:tcW w:type="dxa" w:w="2268"/>
          </w:tcPr>
          <w:p>
            <w:pPr>
              <w:keepNext/>
            </w:pPr>
            <w:r>
              <w:rPr>
                <w:b w:val="0"/>
                <w:i w:val="0"/>
                <w:sz w:val="18"/>
              </w:rPr>
              <w:t>≈ 6</w:t>
            </w:r>
          </w:p>
        </w:tc>
        <w:tc>
          <w:tcPr>
            <w:tcW w:type="dxa" w:w="2268"/>
          </w:tcPr>
          <w:p>
            <w:pPr>
              <w:keepNext/>
            </w:pPr>
            <w:r>
              <w:rPr>
                <w:b w:val="0"/>
                <w:i w:val="0"/>
                <w:sz w:val="18"/>
              </w:rPr>
              <w:t>36</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4: La identidad: quién soy, cómo me ven los demás</w:t>
            </w:r>
          </w:p>
        </w:tc>
        <w:tc>
          <w:tcPr>
            <w:tcW w:type="dxa" w:w="5329"/>
          </w:tcPr>
          <w:p>
            <w:pPr>
              <w:keepNext/>
            </w:pPr>
            <w:r>
              <w:rPr>
                <w:b w:val="0"/>
                <w:i w:val="0"/>
                <w:sz w:val="18"/>
              </w:rPr>
              <w:t>Semanas 15 a 19</w:t>
            </w:r>
          </w:p>
        </w:tc>
        <w:tc>
          <w:tcPr>
            <w:tcW w:type="dxa" w:w="2268"/>
          </w:tcPr>
          <w:p>
            <w:pPr>
              <w:keepNext/>
            </w:pPr>
            <w:r>
              <w:rPr>
                <w:b w:val="0"/>
                <w:i w:val="0"/>
                <w:sz w:val="18"/>
              </w:rPr>
              <w:t>≈ 5</w:t>
            </w:r>
          </w:p>
        </w:tc>
        <w:tc>
          <w:tcPr>
            <w:tcW w:type="dxa" w:w="2268"/>
          </w:tcPr>
          <w:p>
            <w:pPr>
              <w:keepNext/>
            </w:pPr>
            <w:r>
              <w:rPr>
                <w:b w:val="0"/>
                <w:i w:val="0"/>
                <w:sz w:val="18"/>
              </w:rPr>
              <w:t>30</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5: El romancero y la poesía popular</w:t>
            </w:r>
          </w:p>
        </w:tc>
        <w:tc>
          <w:tcPr>
            <w:tcW w:type="dxa" w:w="5329"/>
          </w:tcPr>
          <w:p>
            <w:pPr>
              <w:keepNext/>
            </w:pPr>
            <w:r>
              <w:rPr>
                <w:b w:val="0"/>
                <w:i w:val="0"/>
                <w:sz w:val="18"/>
              </w:rPr>
              <w:t>Semanas 20 a 25</w:t>
            </w:r>
          </w:p>
        </w:tc>
        <w:tc>
          <w:tcPr>
            <w:tcW w:type="dxa" w:w="2268"/>
          </w:tcPr>
          <w:p>
            <w:pPr>
              <w:keepNext/>
            </w:pPr>
            <w:r>
              <w:rPr>
                <w:b w:val="0"/>
                <w:i w:val="0"/>
                <w:sz w:val="18"/>
              </w:rPr>
              <w:t>≈ 5</w:t>
            </w:r>
          </w:p>
        </w:tc>
        <w:tc>
          <w:tcPr>
            <w:tcW w:type="dxa" w:w="2268"/>
          </w:tcPr>
          <w:p>
            <w:pPr>
              <w:keepNext/>
            </w:pPr>
            <w:r>
              <w:rPr>
                <w:b w:val="0"/>
                <w:i w:val="0"/>
                <w:sz w:val="18"/>
              </w:rPr>
              <w:t>31</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6: El terror y lo extraño</w:t>
            </w:r>
          </w:p>
        </w:tc>
        <w:tc>
          <w:tcPr>
            <w:tcW w:type="dxa" w:w="5329"/>
          </w:tcPr>
          <w:p>
            <w:pPr>
              <w:keepNext/>
            </w:pPr>
            <w:r>
              <w:rPr>
                <w:b w:val="0"/>
                <w:i w:val="0"/>
                <w:sz w:val="18"/>
              </w:rPr>
              <w:t>Semanas 26 a 31</w:t>
            </w:r>
          </w:p>
        </w:tc>
        <w:tc>
          <w:tcPr>
            <w:tcW w:type="dxa" w:w="2268"/>
          </w:tcPr>
          <w:p>
            <w:pPr>
              <w:keepNext/>
            </w:pPr>
            <w:r>
              <w:rPr>
                <w:b w:val="0"/>
                <w:i w:val="0"/>
                <w:sz w:val="18"/>
              </w:rPr>
              <w:t>≈ 5</w:t>
            </w:r>
          </w:p>
        </w:tc>
        <w:tc>
          <w:tcPr>
            <w:tcW w:type="dxa" w:w="2268"/>
          </w:tcPr>
          <w:p>
            <w:pPr>
              <w:keepNext/>
            </w:pPr>
            <w:r>
              <w:rPr>
                <w:b w:val="0"/>
                <w:i w:val="0"/>
                <w:sz w:val="18"/>
              </w:rPr>
              <w:t>32</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7: Medios de comunicación</w:t>
            </w:r>
          </w:p>
        </w:tc>
        <w:tc>
          <w:tcPr>
            <w:tcW w:type="dxa" w:w="5329"/>
          </w:tcPr>
          <w:p>
            <w:pPr>
              <w:keepNext/>
            </w:pPr>
            <w:r>
              <w:rPr>
                <w:b w:val="0"/>
                <w:i w:val="0"/>
                <w:sz w:val="18"/>
              </w:rPr>
              <w:t>Semanas 32 a 38</w:t>
            </w:r>
          </w:p>
        </w:tc>
        <w:tc>
          <w:tcPr>
            <w:tcW w:type="dxa" w:w="2268"/>
          </w:tcPr>
          <w:p>
            <w:pPr>
              <w:keepNext/>
            </w:pPr>
            <w:r>
              <w:rPr>
                <w:b w:val="0"/>
                <w:i w:val="0"/>
                <w:sz w:val="18"/>
              </w:rPr>
              <w:t>≈ 6</w:t>
            </w:r>
          </w:p>
        </w:tc>
        <w:tc>
          <w:tcPr>
            <w:tcW w:type="dxa" w:w="2268"/>
          </w:tcPr>
          <w:p>
            <w:pPr>
              <w:keepNext/>
            </w:pPr>
            <w:r>
              <w:rPr>
                <w:b w:val="0"/>
                <w:i w:val="0"/>
                <w:sz w:val="18"/>
              </w:rPr>
              <w:t>34</w:t>
            </w:r>
          </w:p>
        </w:tc>
      </w:tr>
      <w:tr>
        <w:tc>
          <w:tcPr>
            <w:tcW w:type="dxa" w:w="14400"/>
            <w:gridSpan w:val="4"/>
          </w:tcPr>
          <w:p>
            <w:r/>
            <w:r>
              <w:rPr>
                <w:b/>
                <w:i w:val="0"/>
                <w:sz w:val="18"/>
              </w:rPr>
              <w:t>Total anual</w:t>
            </w:r>
          </w:p>
        </w:tc>
        <w:tc>
          <w:tcPr>
            <w:tcW w:type="dxa" w:w="2268"/>
          </w:tcPr>
          <w:p>
            <w:r>
              <w:rPr>
                <w:b/>
                <w:i w:val="0"/>
                <w:sz w:val="18"/>
              </w:rPr>
              <w:t>228</w:t>
            </w:r>
          </w:p>
        </w:tc>
      </w:tr>
    </w:tbl>
    <w:p>
      <w:pPr>
        <w:spacing w:after="0"/>
      </w:pPr>
      <w:r>
        <w:rPr>
          <w:b/>
          <w:i w:val="0"/>
          <w:sz w:val="16"/>
        </w:rPr>
        <w:t xml:space="preserve">Nota: </w:t>
      </w:r>
      <w:r>
        <w:rPr>
          <w:b w:val="0"/>
          <w:i w:val="0"/>
          <w:sz w:val="16"/>
        </w:rPr>
        <w:t xml:space="preserve">Horas por unidad según la sección «Distribución anual del tiempo por unidades» del Programa (pág. 62).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Cada unidad indica los OA que trabaja según el Programa;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3413"/>
        <w:gridCol w:w="4637"/>
        <w:gridCol w:w="147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3413"/>
          </w:tcPr>
          <w:p>
            <w:r/>
            <w:r>
              <w:rPr>
                <w:b/>
                <w:i w:val="0"/>
                <w:sz w:val="16"/>
              </w:rPr>
              <w:t>Foco de la unidad</w:t>
            </w:r>
          </w:p>
        </w:tc>
        <w:tc>
          <w:tcPr>
            <w:tcW w:type="dxa" w:w="4637"/>
          </w:tcPr>
          <w:p>
            <w:r/>
            <w:r>
              <w:rPr>
                <w:b/>
                <w:i w:val="0"/>
                <w:sz w:val="16"/>
              </w:rPr>
              <w:t>Indicadores de evaluación</w:t>
            </w:r>
          </w:p>
        </w:tc>
        <w:tc>
          <w:tcPr>
            <w:tcW w:type="dxa" w:w="1474"/>
          </w:tcPr>
          <w:p>
            <w:r/>
            <w:r>
              <w:rPr>
                <w:b/>
                <w:i w:val="0"/>
                <w:sz w:val="16"/>
              </w:rPr>
              <w:t>Actitudes</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El héroe en distintas épocas</w:t>
            </w:r>
          </w:p>
          <w:p>
            <w:r>
              <w:rPr>
                <w:b w:val="0"/>
                <w:i w:val="0"/>
                <w:sz w:val="15"/>
              </w:rPr>
              <w:t>El propósito de la unidad es que los estudiantes lean, discutan y escriban acerca de una variedad de textos seleccionados por el docente, relacionados con el tema del héroe.</w:t>
            </w:r>
          </w:p>
          <w:p>
            <w:r>
              <w:rPr>
                <w:b w:val="0"/>
                <w:i w:val="0"/>
                <w:color w:val="595959"/>
                <w:sz w:val="14"/>
              </w:rPr>
              <w:t>Programa, págs. 64–110</w:t>
            </w:r>
          </w:p>
        </w:tc>
        <w:tc>
          <w:tcPr>
            <w:tcW w:type="dxa" w:w="1134"/>
          </w:tcPr>
          <w:p>
            <w:r/>
            <w:r>
              <w:rPr>
                <w:b/>
                <w:i w:val="0"/>
                <w:sz w:val="15"/>
              </w:rPr>
              <w:t>Semestre 1</w:t>
            </w:r>
          </w:p>
          <w:p>
            <w:r>
              <w:rPr>
                <w:b w:val="0"/>
                <w:i w:val="0"/>
                <w:sz w:val="15"/>
              </w:rPr>
              <w:t>34 h pedagógicas</w:t>
            </w:r>
          </w:p>
          <w:p>
            <w:r>
              <w:rPr>
                <w:b w:val="0"/>
                <w:i w:val="0"/>
                <w:color w:val="595959"/>
                <w:sz w:val="15"/>
              </w:rPr>
              <w:t>Semanas 1 a 5</w:t>
            </w:r>
          </w:p>
        </w:tc>
        <w:tc>
          <w:tcPr>
            <w:tcW w:type="dxa" w:w="1134"/>
          </w:tcPr>
          <w:p>
            <w:r/>
            <w:r>
              <w:rPr>
                <w:b/>
                <w:i w:val="0"/>
                <w:sz w:val="15"/>
              </w:rPr>
              <w:t>OA 1, OA 2, OA 3, OA 4, OA 7, OA 8, OA 11, OA 14, OA 15, OA 19, OA 21</w:t>
            </w:r>
          </w:p>
          <w:p>
            <w:r>
              <w:rPr>
                <w:b w:val="0"/>
                <w:i w:val="0"/>
                <w:color w:val="595959"/>
                <w:sz w:val="14"/>
              </w:rPr>
              <w:t>(texto en Anexo G)</w:t>
            </w:r>
          </w:p>
          <w:p>
            <w:r>
              <w:rPr>
                <w:b w:val="0"/>
                <w:i w:val="0"/>
                <w:sz w:val="14"/>
              </w:rPr>
              <w:t>Evaluados en los ejemplos del Programa:</w:t>
            </w:r>
          </w:p>
          <w:p>
            <w:r>
              <w:rPr>
                <w:b/>
                <w:i w:val="0"/>
                <w:sz w:val="15"/>
              </w:rPr>
              <w:t>OA 14, OA 15, OA 21</w:t>
            </w:r>
          </w:p>
        </w:tc>
        <w:tc>
          <w:tcPr>
            <w:tcW w:type="dxa" w:w="3413"/>
          </w:tcPr>
          <w:p>
            <w:r/>
            <w:r>
              <w:rPr>
                <w:b/>
                <w:i w:val="0"/>
                <w:sz w:val="15"/>
              </w:rPr>
              <w:t>Lecturas sugeridas (Programa, pág. 65)</w:t>
            </w:r>
          </w:p>
          <w:p>
            <w:pPr>
              <w:pStyle w:val="ListBullet"/>
              <w:spacing w:after="20"/>
              <w:ind w:left="198" w:hanging="170"/>
            </w:pPr>
            <w:r>
              <w:rPr>
                <w:b/>
                <w:i w:val="0"/>
                <w:sz w:val="15"/>
              </w:rPr>
              <w:t xml:space="preserve">Relatos bíblicos: </w:t>
            </w:r>
            <w:r>
              <w:rPr>
                <w:b w:val="0"/>
                <w:i w:val="0"/>
                <w:sz w:val="15"/>
              </w:rPr>
              <w:t>“David y Goliat” en Primer libro de Samuel; “Sansón” en Libro de los jueces; “Daniel y los leones” en Libro de Daniel; “La historia de Ester” en Libro de Ester; “La historia de Judith” en Libro de Judith</w:t>
            </w:r>
          </w:p>
          <w:p>
            <w:pPr>
              <w:pStyle w:val="ListBullet"/>
              <w:spacing w:after="20"/>
              <w:ind w:left="198" w:hanging="170"/>
            </w:pPr>
            <w:r>
              <w:rPr>
                <w:b/>
                <w:i w:val="0"/>
                <w:sz w:val="15"/>
              </w:rPr>
              <w:t xml:space="preserve">Selección del Ramayana: </w:t>
            </w:r>
            <w:r>
              <w:rPr>
                <w:b w:val="0"/>
                <w:i w:val="0"/>
                <w:sz w:val="15"/>
              </w:rPr>
              <w:t>“Capítulos 1, 2 y 3: Sobre Hanumán, el rey de los monos” en Kishkinda Kanda</w:t>
            </w:r>
          </w:p>
          <w:p>
            <w:pPr>
              <w:pStyle w:val="ListBullet"/>
              <w:spacing w:after="20"/>
              <w:ind w:left="198" w:hanging="170"/>
            </w:pPr>
            <w:r>
              <w:rPr>
                <w:b/>
                <w:i w:val="0"/>
                <w:sz w:val="15"/>
              </w:rPr>
              <w:t xml:space="preserve">Anónimo o versión de Howard Pyle: </w:t>
            </w:r>
            <w:r>
              <w:rPr>
                <w:b w:val="0"/>
                <w:i w:val="0"/>
                <w:sz w:val="15"/>
              </w:rPr>
              <w:t>Robin Hood</w:t>
            </w:r>
          </w:p>
          <w:p>
            <w:pPr>
              <w:pStyle w:val="ListBullet"/>
              <w:spacing w:after="20"/>
              <w:ind w:left="198" w:hanging="170"/>
            </w:pPr>
            <w:r>
              <w:rPr>
                <w:b/>
                <w:i w:val="0"/>
                <w:sz w:val="15"/>
              </w:rPr>
              <w:t xml:space="preserve">Anónimo: </w:t>
            </w:r>
            <w:r>
              <w:rPr>
                <w:b w:val="0"/>
                <w:i w:val="0"/>
                <w:sz w:val="15"/>
              </w:rPr>
              <w:t>“Poema de Hua Mulán”</w:t>
            </w:r>
          </w:p>
          <w:p>
            <w:pPr>
              <w:pStyle w:val="ListBullet"/>
              <w:spacing w:after="20"/>
              <w:ind w:left="198" w:hanging="170"/>
            </w:pPr>
            <w:r>
              <w:rPr>
                <w:b/>
                <w:i w:val="0"/>
                <w:sz w:val="15"/>
              </w:rPr>
              <w:t xml:space="preserve">Isaac Bashevis Singer: </w:t>
            </w:r>
            <w:r>
              <w:rPr>
                <w:b w:val="0"/>
                <w:i w:val="0"/>
                <w:sz w:val="15"/>
              </w:rPr>
              <w:t>“La lavandera” en En la corte de mi padre</w:t>
            </w:r>
          </w:p>
          <w:p>
            <w:pPr>
              <w:pStyle w:val="ListBullet"/>
              <w:spacing w:after="20"/>
              <w:ind w:left="198" w:hanging="170"/>
            </w:pPr>
            <w:r>
              <w:rPr>
                <w:b/>
                <w:i w:val="0"/>
                <w:sz w:val="15"/>
              </w:rPr>
              <w:t xml:space="preserve">Rubén Darío: </w:t>
            </w:r>
            <w:r>
              <w:rPr>
                <w:b w:val="0"/>
                <w:i w:val="0"/>
                <w:sz w:val="15"/>
              </w:rPr>
              <w:t>“Caupolicán”</w:t>
            </w:r>
          </w:p>
          <w:p>
            <w:pPr>
              <w:pStyle w:val="ListBullet"/>
              <w:spacing w:after="20"/>
              <w:ind w:left="198" w:hanging="170"/>
            </w:pPr>
            <w:r>
              <w:rPr>
                <w:b/>
                <w:i w:val="0"/>
                <w:sz w:val="15"/>
              </w:rPr>
              <w:t xml:space="preserve">Miguel de Cervantes: </w:t>
            </w:r>
            <w:r>
              <w:rPr>
                <w:b w:val="0"/>
                <w:i w:val="0"/>
                <w:sz w:val="15"/>
              </w:rPr>
              <w:t>“Capítulo XXII: aventura de los galeotes” en Don Quijote de la Mancha: primera parte</w:t>
            </w:r>
          </w:p>
          <w:p>
            <w:pPr>
              <w:pStyle w:val="ListBullet"/>
              <w:spacing w:after="20"/>
              <w:ind w:left="198" w:hanging="170"/>
            </w:pPr>
            <w:r>
              <w:rPr>
                <w:b/>
                <w:i w:val="0"/>
                <w:sz w:val="15"/>
              </w:rPr>
              <w:t xml:space="preserve">Alonso de Ercilla: </w:t>
            </w:r>
            <w:r>
              <w:rPr>
                <w:b w:val="0"/>
                <w:i w:val="0"/>
                <w:sz w:val="15"/>
              </w:rPr>
              <w:t>“Canto II”, desde «Ya la rosada Aurora comenzaba» hasta «el peso y grande carga que tomamos» en La Araucana</w:t>
            </w:r>
          </w:p>
          <w:p>
            <w:pPr>
              <w:pStyle w:val="ListBullet"/>
              <w:spacing w:after="20"/>
              <w:ind w:left="198" w:hanging="170"/>
            </w:pPr>
            <w:r>
              <w:rPr>
                <w:b/>
                <w:i w:val="0"/>
                <w:sz w:val="15"/>
              </w:rPr>
              <w:t xml:space="preserve">Chrétien de Troyes: </w:t>
            </w:r>
            <w:r>
              <w:rPr>
                <w:b w:val="0"/>
                <w:i w:val="0"/>
                <w:sz w:val="15"/>
              </w:rPr>
              <w:t>“Lanzarote pelea lo peor posible y lo mejor posible” vv. 5369 – 6066, en El caballero de la carreta</w:t>
            </w:r>
          </w:p>
          <w:p>
            <w:pPr>
              <w:pStyle w:val="ListBullet"/>
              <w:spacing w:after="20"/>
              <w:ind w:left="198" w:hanging="170"/>
            </w:pPr>
            <w:r>
              <w:rPr>
                <w:b/>
                <w:i w:val="0"/>
                <w:sz w:val="15"/>
              </w:rPr>
              <w:t xml:space="preserve">Federico García Lorca: </w:t>
            </w:r>
            <w:r>
              <w:rPr>
                <w:b w:val="0"/>
                <w:i w:val="0"/>
                <w:sz w:val="15"/>
              </w:rPr>
              <w:t>Mariana Pineda</w:t>
            </w:r>
          </w:p>
          <w:p>
            <w:pPr>
              <w:pStyle w:val="ListBullet"/>
              <w:spacing w:after="20"/>
              <w:ind w:left="198" w:hanging="170"/>
            </w:pPr>
            <w:r>
              <w:rPr>
                <w:b/>
                <w:i w:val="0"/>
                <w:sz w:val="15"/>
              </w:rPr>
              <w:t xml:space="preserve">Inca Garcilaso de la Vega: </w:t>
            </w:r>
            <w:r>
              <w:rPr>
                <w:b w:val="0"/>
                <w:i w:val="0"/>
                <w:sz w:val="15"/>
              </w:rPr>
              <w:t>“Historia de Pedro Serrano”</w:t>
            </w:r>
          </w:p>
          <w:p>
            <w:pPr>
              <w:pStyle w:val="ListBullet"/>
              <w:spacing w:after="20"/>
              <w:ind w:left="198" w:hanging="170"/>
            </w:pPr>
            <w:r>
              <w:rPr>
                <w:b/>
                <w:i w:val="0"/>
                <w:sz w:val="15"/>
              </w:rPr>
              <w:t xml:space="preserve">Homero: </w:t>
            </w:r>
            <w:r>
              <w:rPr>
                <w:b w:val="0"/>
                <w:i w:val="0"/>
                <w:sz w:val="15"/>
              </w:rPr>
              <w:t>“Canto V: Diomedes” en La Ilíada; “Canto VI: Coloquio de Héctor y Andrómaca”, verso 390 en adelante (Héctor se despide de su familia) en La Ilíada; “Canto XII: Las sirenas” en La Odisea</w:t>
            </w:r>
          </w:p>
          <w:p>
            <w:pPr>
              <w:pStyle w:val="ListBullet"/>
              <w:spacing w:after="20"/>
              <w:ind w:left="198" w:hanging="170"/>
            </w:pPr>
            <w:r>
              <w:rPr>
                <w:b/>
                <w:i w:val="0"/>
                <w:sz w:val="15"/>
              </w:rPr>
              <w:t xml:space="preserve">Bob Kane y Bill Finger: </w:t>
            </w:r>
            <w:r>
              <w:rPr>
                <w:b w:val="0"/>
                <w:i w:val="0"/>
                <w:sz w:val="15"/>
              </w:rPr>
              <w:t>Batman (DC Comics)</w:t>
            </w:r>
          </w:p>
          <w:p>
            <w:pPr>
              <w:pStyle w:val="ListBullet"/>
              <w:spacing w:after="20"/>
              <w:ind w:left="198" w:hanging="170"/>
            </w:pPr>
            <w:r>
              <w:rPr>
                <w:b/>
                <w:i w:val="0"/>
                <w:sz w:val="15"/>
              </w:rPr>
              <w:t xml:space="preserve">Rudyard Kipling: </w:t>
            </w:r>
            <w:r>
              <w:rPr>
                <w:b w:val="0"/>
                <w:i w:val="0"/>
                <w:sz w:val="15"/>
              </w:rPr>
              <w:t>“Si”</w:t>
            </w:r>
          </w:p>
          <w:p>
            <w:pPr>
              <w:pStyle w:val="ListBullet"/>
              <w:spacing w:after="20"/>
              <w:ind w:left="198" w:hanging="170"/>
            </w:pPr>
            <w:r>
              <w:rPr>
                <w:b/>
                <w:i w:val="0"/>
                <w:sz w:val="15"/>
              </w:rPr>
              <w:t xml:space="preserve">León Felipe: </w:t>
            </w:r>
            <w:r>
              <w:rPr>
                <w:b w:val="0"/>
                <w:i w:val="0"/>
                <w:sz w:val="15"/>
              </w:rPr>
              <w:t>“Vencidos”</w:t>
            </w:r>
          </w:p>
          <w:p>
            <w:pPr>
              <w:pStyle w:val="ListBullet"/>
              <w:spacing w:after="20"/>
              <w:ind w:left="198" w:hanging="170"/>
            </w:pPr>
            <w:r>
              <w:rPr>
                <w:b/>
                <w:i w:val="0"/>
                <w:sz w:val="15"/>
              </w:rPr>
              <w:t xml:space="preserve">Vicente Huidobro: </w:t>
            </w:r>
            <w:r>
              <w:rPr>
                <w:b w:val="0"/>
                <w:i w:val="0"/>
                <w:sz w:val="15"/>
              </w:rPr>
              <w:t>“El destierro: salida de Vivar” en Mío Cid Campeador</w:t>
            </w:r>
          </w:p>
          <w:p>
            <w:pPr>
              <w:pStyle w:val="ListBullet"/>
              <w:spacing w:after="20"/>
              <w:ind w:left="198" w:hanging="170"/>
            </w:pPr>
            <w:r>
              <w:rPr>
                <w:b/>
                <w:i w:val="0"/>
                <w:sz w:val="15"/>
              </w:rPr>
              <w:t xml:space="preserve">Manuel Machado: </w:t>
            </w:r>
            <w:r>
              <w:rPr>
                <w:b w:val="0"/>
                <w:i w:val="0"/>
                <w:sz w:val="15"/>
              </w:rPr>
              <w:t>“Castilla”</w:t>
            </w:r>
          </w:p>
          <w:p>
            <w:pPr>
              <w:pStyle w:val="ListBullet"/>
              <w:spacing w:after="20"/>
              <w:ind w:left="198" w:hanging="170"/>
            </w:pPr>
            <w:r>
              <w:rPr>
                <w:b/>
                <w:i w:val="0"/>
                <w:sz w:val="15"/>
              </w:rPr>
              <w:t xml:space="preserve">Patricio Manns: </w:t>
            </w:r>
            <w:r>
              <w:rPr>
                <w:b w:val="0"/>
                <w:i w:val="0"/>
                <w:sz w:val="15"/>
              </w:rPr>
              <w:t>“El cautivo de Til-Til”</w:t>
            </w:r>
          </w:p>
          <w:p>
            <w:pPr>
              <w:pStyle w:val="ListBullet"/>
              <w:spacing w:after="20"/>
              <w:ind w:left="198" w:hanging="170"/>
            </w:pPr>
            <w:r>
              <w:rPr>
                <w:b/>
                <w:i w:val="0"/>
                <w:sz w:val="15"/>
              </w:rPr>
              <w:t xml:space="preserve">Versión de Mario Meunier: </w:t>
            </w:r>
            <w:r>
              <w:rPr>
                <w:b w:val="0"/>
                <w:i w:val="0"/>
                <w:sz w:val="15"/>
              </w:rPr>
              <w:t>“La historia de Hércules”</w:t>
            </w:r>
          </w:p>
          <w:p>
            <w:pPr>
              <w:pStyle w:val="ListBullet"/>
              <w:spacing w:after="20"/>
              <w:ind w:left="198" w:hanging="170"/>
            </w:pPr>
            <w:r>
              <w:rPr>
                <w:b/>
                <w:i w:val="0"/>
                <w:sz w:val="15"/>
              </w:rPr>
              <w:t xml:space="preserve">Pablo Neruda: </w:t>
            </w:r>
            <w:r>
              <w:rPr>
                <w:b w:val="0"/>
                <w:i w:val="0"/>
                <w:sz w:val="15"/>
              </w:rPr>
              <w:t>“Educación del cacique”; “Toqui Caupolicán”; “Tonada de Manuel Rodríguez”</w:t>
            </w:r>
          </w:p>
          <w:p>
            <w:pPr>
              <w:pStyle w:val="ListBullet"/>
              <w:spacing w:after="20"/>
              <w:ind w:left="198" w:hanging="170"/>
            </w:pPr>
            <w:r>
              <w:rPr>
                <w:b/>
                <w:i w:val="0"/>
                <w:sz w:val="15"/>
              </w:rPr>
              <w:t xml:space="preserve">Arturo Pérez-Reverte: </w:t>
            </w:r>
            <w:r>
              <w:rPr>
                <w:b w:val="0"/>
                <w:i w:val="0"/>
                <w:sz w:val="15"/>
              </w:rPr>
              <w:t>El capitán Alatriste</w:t>
            </w:r>
          </w:p>
          <w:p>
            <w:pPr>
              <w:pStyle w:val="ListBullet"/>
              <w:spacing w:after="20"/>
              <w:ind w:left="198" w:hanging="170"/>
            </w:pPr>
            <w:r>
              <w:rPr>
                <w:b/>
                <w:i w:val="0"/>
                <w:sz w:val="15"/>
              </w:rPr>
              <w:t xml:space="preserve">Marco Polo: </w:t>
            </w:r>
            <w:r>
              <w:rPr>
                <w:b w:val="0"/>
                <w:i w:val="0"/>
                <w:sz w:val="15"/>
              </w:rPr>
              <w:t>“Libro II, capítulos 1-5: sobre Cublai Kaan” y “Libro IV, capítulo 4: sobre el rey Caidu y su hija, Aijaruc” en Viajes de Marco Polo</w:t>
            </w:r>
          </w:p>
          <w:p>
            <w:pPr>
              <w:pStyle w:val="ListBullet"/>
              <w:spacing w:after="20"/>
              <w:ind w:left="198" w:hanging="170"/>
            </w:pPr>
            <w:r>
              <w:rPr>
                <w:b/>
                <w:i w:val="0"/>
                <w:sz w:val="15"/>
              </w:rPr>
              <w:t xml:space="preserve">Henry Rider Haggard: </w:t>
            </w:r>
            <w:r>
              <w:rPr>
                <w:b w:val="0"/>
                <w:i w:val="0"/>
                <w:sz w:val="15"/>
              </w:rPr>
              <w:t>Las minas del rey Salomón</w:t>
            </w:r>
          </w:p>
          <w:p>
            <w:pPr>
              <w:pStyle w:val="ListBullet"/>
              <w:spacing w:after="20"/>
              <w:ind w:left="198" w:hanging="170"/>
            </w:pPr>
            <w:r>
              <w:rPr>
                <w:b/>
                <w:i w:val="0"/>
                <w:sz w:val="15"/>
              </w:rPr>
              <w:t xml:space="preserve">Emilio Salgari: </w:t>
            </w:r>
            <w:r>
              <w:rPr>
                <w:b w:val="0"/>
                <w:i w:val="0"/>
                <w:sz w:val="15"/>
              </w:rPr>
              <w:t>El corsario negro; La hija del corsario negro</w:t>
            </w:r>
          </w:p>
          <w:p>
            <w:pPr>
              <w:pStyle w:val="ListBullet"/>
              <w:spacing w:after="20"/>
              <w:ind w:left="198" w:hanging="170"/>
            </w:pPr>
            <w:r>
              <w:rPr>
                <w:b/>
                <w:i w:val="0"/>
                <w:sz w:val="15"/>
              </w:rPr>
              <w:t xml:space="preserve">Fidel Sepúlveda: </w:t>
            </w:r>
            <w:r>
              <w:rPr>
                <w:b w:val="0"/>
                <w:i w:val="0"/>
                <w:sz w:val="15"/>
              </w:rPr>
              <w:t>“El héroe” en El cuento tradicional chileno. Estudio estético y antropológico. Antología esencial.</w:t>
            </w:r>
          </w:p>
          <w:p>
            <w:pPr>
              <w:pStyle w:val="ListBullet"/>
              <w:spacing w:after="20"/>
              <w:ind w:left="198" w:hanging="170"/>
            </w:pPr>
            <w:r>
              <w:rPr>
                <w:b/>
                <w:i w:val="0"/>
                <w:sz w:val="15"/>
              </w:rPr>
              <w:t xml:space="preserve">Malala Yousafzai y Christina Lamb: </w:t>
            </w:r>
            <w:r>
              <w:rPr>
                <w:b w:val="0"/>
                <w:i w:val="0"/>
                <w:sz w:val="15"/>
              </w:rPr>
              <w:t>Yo soy Malala</w:t>
            </w:r>
          </w:p>
          <w:p>
            <w:pPr>
              <w:pStyle w:val="ListBullet"/>
              <w:spacing w:after="20"/>
              <w:ind w:left="198" w:hanging="170"/>
            </w:pPr>
            <w:r>
              <w:rPr>
                <w:b/>
                <w:i w:val="0"/>
                <w:sz w:val="15"/>
              </w:rPr>
              <w:t xml:space="preserve">Stefan Zweig: </w:t>
            </w:r>
            <w:r>
              <w:rPr>
                <w:b w:val="0"/>
                <w:i w:val="0"/>
                <w:sz w:val="15"/>
              </w:rPr>
              <w:t>“La lucha por el Polo Sur: El capitán Scott, 90 grados de latitud” en Momentos estelares de la humanidad</w:t>
            </w:r>
          </w:p>
        </w:tc>
        <w:tc>
          <w:tcPr>
            <w:tcW w:type="dxa" w:w="4637"/>
          </w:tcPr>
          <w:p>
            <w:r/>
            <w:r>
              <w:rPr>
                <w:b/>
                <w:i w:val="0"/>
                <w:sz w:val="15"/>
              </w:rPr>
              <w:t>Ejemplo 1 (OA 14, OA 15) · pág. 108</w:t>
            </w:r>
          </w:p>
          <w:p>
            <w:pPr>
              <w:pStyle w:val="ListBullet"/>
              <w:spacing w:after="20"/>
              <w:ind w:left="198" w:hanging="170"/>
            </w:pPr>
            <w:r>
              <w:rPr>
                <w:b w:val="0"/>
                <w:i w:val="0"/>
                <w:sz w:val="15"/>
              </w:rPr>
              <w:t>Escriben textos de diversos géneros con el fin de persuadir al lector respecto de algún tema.</w:t>
            </w:r>
          </w:p>
          <w:p>
            <w:pPr>
              <w:pStyle w:val="ListBullet"/>
              <w:spacing w:after="20"/>
              <w:ind w:left="198" w:hanging="170"/>
            </w:pPr>
            <w:r>
              <w:rPr>
                <w:b w:val="0"/>
                <w:i w:val="0"/>
                <w:sz w:val="15"/>
              </w:rPr>
              <w:t>Mencionan su postura frente al tema, al principio del texto.</w:t>
            </w:r>
          </w:p>
          <w:p>
            <w:pPr>
              <w:pStyle w:val="ListBullet"/>
              <w:spacing w:after="20"/>
              <w:ind w:left="198" w:hanging="170"/>
            </w:pPr>
            <w:r>
              <w:rPr>
                <w:b w:val="0"/>
                <w:i w:val="0"/>
                <w:sz w:val="15"/>
              </w:rPr>
              <w:t>Usan evidencias e información que se relaciona directamente con los argumentos empleados.</w:t>
            </w:r>
          </w:p>
          <w:p>
            <w:pPr>
              <w:pStyle w:val="ListBullet"/>
              <w:spacing w:after="20"/>
              <w:ind w:left="198" w:hanging="170"/>
            </w:pPr>
            <w:r>
              <w:rPr>
                <w:b w:val="0"/>
                <w:i w:val="0"/>
                <w:sz w:val="15"/>
              </w:rPr>
              <w:t>Fundamentan su postura, usando ejemplos de un texto (literario o no literario), casos de la vida cotidiana, conocimientos previos sobre el tema, etc.</w:t>
            </w:r>
          </w:p>
          <w:p>
            <w:pPr>
              <w:pStyle w:val="ListBullet"/>
              <w:spacing w:after="20"/>
              <w:ind w:left="198" w:hanging="170"/>
            </w:pPr>
            <w:r>
              <w:rPr>
                <w:b w:val="0"/>
                <w:i w:val="0"/>
                <w:sz w:val="15"/>
              </w:rPr>
              <w:t>Recopilan documentos o páginas de internet que puedan aportar información para el tema.</w:t>
            </w:r>
          </w:p>
          <w:p>
            <w:pPr>
              <w:pStyle w:val="ListBullet"/>
              <w:spacing w:after="20"/>
              <w:ind w:left="198" w:hanging="170"/>
            </w:pPr>
            <w:r>
              <w:rPr>
                <w:b w:val="0"/>
                <w:i w:val="0"/>
                <w:sz w:val="15"/>
              </w:rPr>
              <w:t>Seleccionan la información que se relaciona directamente con el tema y descartan la que no es pertinente.</w:t>
            </w:r>
          </w:p>
          <w:p>
            <w:pPr>
              <w:pStyle w:val="ListBullet"/>
              <w:spacing w:after="20"/>
              <w:ind w:left="198" w:hanging="170"/>
            </w:pPr>
            <w:r>
              <w:rPr>
                <w:b w:val="0"/>
                <w:i w:val="0"/>
                <w:sz w:val="15"/>
              </w:rPr>
              <w:t>Justifican por qué, para escribir sus textos, incluyen o descartan información recopilada.</w:t>
            </w:r>
          </w:p>
          <w:p>
            <w:pPr>
              <w:pStyle w:val="ListBullet"/>
              <w:spacing w:after="20"/>
              <w:ind w:left="198" w:hanging="170"/>
            </w:pPr>
            <w:r>
              <w:rPr>
                <w:b w:val="0"/>
                <w:i w:val="0"/>
                <w:sz w:val="15"/>
              </w:rPr>
              <w:t>Organizan sus ideas e información en torno a diferentes categorías o temas, usando organizadores gráficos o esquemas.</w:t>
            </w:r>
          </w:p>
          <w:p>
            <w:pPr>
              <w:pStyle w:val="ListBullet"/>
              <w:spacing w:after="20"/>
              <w:ind w:left="198" w:hanging="170"/>
            </w:pPr>
            <w:r>
              <w:rPr>
                <w:b w:val="0"/>
                <w:i w:val="0"/>
                <w:sz w:val="15"/>
              </w:rPr>
              <w:t>Comentan con otros los problemas que tienen en la redacción del texto y las posibles soluciones.</w:t>
            </w:r>
          </w:p>
          <w:p>
            <w:pPr>
              <w:pStyle w:val="ListBullet"/>
              <w:spacing w:after="20"/>
              <w:ind w:left="198" w:hanging="170"/>
            </w:pPr>
            <w:r>
              <w:rPr>
                <w:b w:val="0"/>
                <w:i w:val="0"/>
                <w:sz w:val="15"/>
              </w:rPr>
              <w:t>Identifican fragmentos incoherentes y los reescriben.</w:t>
            </w:r>
          </w:p>
          <w:p>
            <w:pPr>
              <w:pStyle w:val="ListBullet"/>
              <w:spacing w:after="20"/>
              <w:ind w:left="198" w:hanging="170"/>
            </w:pPr>
            <w:r>
              <w:rPr>
                <w:b w:val="0"/>
                <w:i w:val="0"/>
                <w:sz w:val="15"/>
              </w:rPr>
              <w:t>Reorganizan, si es necesario, los párrafos para que estos tengan una progresión temática coherente.</w:t>
            </w:r>
          </w:p>
          <w:p>
            <w:pPr>
              <w:pStyle w:val="ListBullet"/>
              <w:spacing w:after="20"/>
              <w:ind w:left="198" w:hanging="170"/>
            </w:pPr>
            <w:r>
              <w:rPr>
                <w:b w:val="0"/>
                <w:i w:val="0"/>
                <w:sz w:val="15"/>
              </w:rPr>
              <w:t>Eliminan información superflua.</w:t>
            </w:r>
          </w:p>
          <w:p>
            <w:pPr>
              <w:pStyle w:val="ListBullet"/>
              <w:spacing w:after="20"/>
              <w:ind w:left="198" w:hanging="170"/>
            </w:pPr>
            <w:r>
              <w:rPr>
                <w:b w:val="0"/>
                <w:i w:val="0"/>
                <w:sz w:val="15"/>
              </w:rPr>
              <w:t>Incorporan, cuando es necesario, conectores que ayudan al lector a comprender la relación que hay entre las oraciones de un mismo párrafo.</w:t>
            </w:r>
          </w:p>
          <w:p>
            <w:pPr>
              <w:pStyle w:val="ListBullet"/>
              <w:spacing w:after="20"/>
              <w:ind w:left="198" w:hanging="170"/>
            </w:pPr>
            <w:r>
              <w:rPr>
                <w:b w:val="0"/>
                <w:i w:val="0"/>
                <w:sz w:val="15"/>
              </w:rPr>
              <w:t>Revisan la puntuación para que el texto sea coherente.</w:t>
            </w:r>
          </w:p>
          <w:p>
            <w:r>
              <w:rPr>
                <w:b/>
                <w:i w:val="0"/>
                <w:sz w:val="15"/>
              </w:rPr>
              <w:t>Ejemplo 2 (OA 21) · pág. 110</w:t>
            </w:r>
          </w:p>
          <w:p>
            <w:pPr>
              <w:pStyle w:val="ListBullet"/>
              <w:spacing w:after="20"/>
              <w:ind w:left="198" w:hanging="170"/>
            </w:pPr>
            <w:r>
              <w:rPr>
                <w:b w:val="0"/>
                <w:i w:val="0"/>
                <w:sz w:val="15"/>
              </w:rPr>
              <w:t>Mantienen el tema de la conversación y, aunque hacen digresiones, vuelven a él.</w:t>
            </w:r>
          </w:p>
          <w:p>
            <w:pPr>
              <w:pStyle w:val="ListBullet"/>
              <w:spacing w:after="20"/>
              <w:ind w:left="198" w:hanging="170"/>
            </w:pPr>
            <w:r>
              <w:rPr>
                <w:b w:val="0"/>
                <w:i w:val="0"/>
                <w:sz w:val="15"/>
              </w:rPr>
              <w:t>Se recuerdan mutuamente, si es que se alejan del tema, sobre qué tienen que resolver o llegar a un acuerdo.</w:t>
            </w:r>
          </w:p>
          <w:p>
            <w:pPr>
              <w:pStyle w:val="ListBullet"/>
              <w:spacing w:after="20"/>
              <w:ind w:left="198" w:hanging="170"/>
            </w:pPr>
            <w:r>
              <w:rPr>
                <w:b w:val="0"/>
                <w:i w:val="0"/>
                <w:sz w:val="15"/>
              </w:rPr>
              <w:t>Contestan a otros siguiendo el tema que se desarrolla.</w:t>
            </w:r>
          </w:p>
          <w:p>
            <w:pPr>
              <w:pStyle w:val="ListBullet"/>
              <w:spacing w:after="20"/>
              <w:ind w:left="198" w:hanging="170"/>
            </w:pPr>
            <w:r>
              <w:rPr>
                <w:b w:val="0"/>
                <w:i w:val="0"/>
                <w:sz w:val="15"/>
              </w:rPr>
              <w:t>Mencionan información que ha sido dicha por otros antes de complementarla o refutarla.</w:t>
            </w:r>
          </w:p>
          <w:p>
            <w:pPr>
              <w:pStyle w:val="ListBullet"/>
              <w:spacing w:after="20"/>
              <w:ind w:left="198" w:hanging="170"/>
            </w:pPr>
            <w:r>
              <w:rPr>
                <w:b w:val="0"/>
                <w:i w:val="0"/>
                <w:sz w:val="15"/>
              </w:rPr>
              <w:t>Fundamentan sus aseveraciones con ejemplos de textos u otra información relevante.</w:t>
            </w:r>
          </w:p>
          <w:p>
            <w:pPr>
              <w:pStyle w:val="ListBullet"/>
              <w:spacing w:after="20"/>
              <w:ind w:left="198" w:hanging="170"/>
            </w:pPr>
            <w:r>
              <w:rPr>
                <w:b w:val="0"/>
                <w:i w:val="0"/>
                <w:sz w:val="15"/>
              </w:rPr>
              <w:t>Preguntan a otros para profundizar en el tema en discusión o explorar otras ideas relacionadas.</w:t>
            </w:r>
          </w:p>
          <w:p>
            <w:pPr>
              <w:pStyle w:val="ListBullet"/>
              <w:spacing w:after="20"/>
              <w:ind w:left="198" w:hanging="170"/>
            </w:pPr>
            <w:r>
              <w:rPr>
                <w:b w:val="0"/>
                <w:i w:val="0"/>
                <w:sz w:val="15"/>
              </w:rPr>
              <w:t>Identifican puntos de acuerdo con los compañeros.</w:t>
            </w:r>
          </w:p>
          <w:p>
            <w:pPr>
              <w:pStyle w:val="ListBullet"/>
              <w:spacing w:after="20"/>
              <w:ind w:left="198" w:hanging="170"/>
            </w:pPr>
            <w:r>
              <w:rPr>
                <w:b w:val="0"/>
                <w:i w:val="0"/>
                <w:sz w:val="15"/>
              </w:rPr>
              <w:t>Llegan a acuerdos con los compañeros sobre algún aspecto discutido.</w:t>
            </w:r>
          </w:p>
          <w:p>
            <w:pPr>
              <w:pStyle w:val="ListBullet"/>
              <w:spacing w:after="20"/>
              <w:ind w:left="198" w:hanging="170"/>
            </w:pPr>
            <w:r>
              <w:rPr>
                <w:b w:val="0"/>
                <w:i w:val="0"/>
                <w:sz w:val="15"/>
              </w:rPr>
              <w:t>En actividades grupales, reparten de manera equitativa las responsabilidades del trabajo.</w:t>
            </w:r>
          </w:p>
          <w:p>
            <w:pPr>
              <w:pStyle w:val="ListBullet"/>
              <w:spacing w:after="20"/>
              <w:ind w:left="198" w:hanging="170"/>
            </w:pPr>
            <w:r>
              <w:rPr>
                <w:b w:val="0"/>
                <w:i w:val="0"/>
                <w:sz w:val="15"/>
              </w:rPr>
              <w:t>Esperan una pausa para hacer su intervención.</w:t>
            </w:r>
          </w:p>
          <w:p>
            <w:pPr>
              <w:pStyle w:val="ListBullet"/>
              <w:spacing w:after="20"/>
              <w:ind w:left="198" w:hanging="170"/>
            </w:pPr>
            <w:r>
              <w:rPr>
                <w:b w:val="0"/>
                <w:i w:val="0"/>
                <w:sz w:val="15"/>
              </w:rPr>
              <w:t>Miran al otro antes de interrumpir para ver si es posible tomar la palabra en ese momento.</w:t>
            </w:r>
          </w:p>
        </w:tc>
        <w:tc>
          <w:tcPr>
            <w:tcW w:type="dxa" w:w="1474"/>
          </w:tcPr>
          <w:p>
            <w:r/>
            <w:r>
              <w:rPr>
                <w:b/>
                <w:i w:val="0"/>
                <w:sz w:val="15"/>
              </w:rPr>
              <w:t xml:space="preserve">OA A: </w:t>
            </w:r>
            <w:r>
              <w:rPr>
                <w:b w:val="0"/>
                <w:i w:val="0"/>
                <w:sz w:val="15"/>
              </w:rPr>
              <w:t>Manifestar disposición a formarse un pensamiento propio, reflexivo e informado, mediante una lectura crítica y el diálogo con otros.</w:t>
            </w:r>
          </w:p>
          <w:p>
            <w:r>
              <w:rPr>
                <w:b/>
                <w:i w:val="0"/>
                <w:sz w:val="15"/>
              </w:rPr>
              <w:t xml:space="preserve">OA B: </w:t>
            </w:r>
            <w:r>
              <w:rPr>
                <w:b w:val="0"/>
                <w:i w:val="0"/>
                <w:sz w:val="15"/>
              </w:rPr>
              <w:t>Manifestar disposición a reflexionar sobre sí mismo y sobre las cuestiones sociales y éticas que emanan de las lecturas.</w:t>
            </w:r>
          </w:p>
          <w:p>
            <w:r>
              <w:rPr>
                <w:b/>
                <w:i w:val="0"/>
                <w:sz w:val="15"/>
              </w:rPr>
              <w:t xml:space="preserve">OA D: </w:t>
            </w:r>
            <w:r>
              <w:rPr>
                <w:b w:val="0"/>
                <w:i w:val="0"/>
                <w:sz w:val="15"/>
              </w:rPr>
              <w:t>Valorar la diversidad de perspectivas, creencias y culturas, presentes en su entorno y el mundo, como manifestación de la libertad, creatividad y dignidad humana.</w:t>
            </w:r>
          </w:p>
        </w:tc>
        <w:tc>
          <w:tcPr>
            <w:tcW w:type="dxa" w:w="1871"/>
          </w:tcPr>
          <w:p>
            <w:r/>
            <w:r>
              <w:rPr>
                <w:b/>
                <w:i w:val="0"/>
                <w:sz w:val="15"/>
              </w:rPr>
              <w:t>Diagnóstica (Programa):</w:t>
            </w:r>
          </w:p>
          <w:p>
            <w:pPr>
              <w:pStyle w:val="ListBullet"/>
              <w:spacing w:after="20"/>
              <w:ind w:left="198" w:hanging="170"/>
            </w:pPr>
            <w:r>
              <w:rPr>
                <w:b/>
                <w:i w:val="0"/>
                <w:sz w:val="15"/>
              </w:rPr>
              <w:t xml:space="preserve">Ejemplo 2: </w:t>
            </w:r>
            <w:r>
              <w:rPr>
                <w:b w:val="0"/>
                <w:i w:val="0"/>
                <w:sz w:val="15"/>
              </w:rPr>
              <w:t>Los estudiantes discuten en grupos en torno a un texto (tal como se sugiere en la actividad 43). (pág. 110)</w:t>
            </w:r>
          </w:p>
          <w:p>
            <w:r>
              <w:rPr>
                <w:b/>
                <w:i w:val="0"/>
                <w:sz w:val="15"/>
              </w:rPr>
              <w:t xml:space="preserve">Formativa. </w:t>
            </w:r>
            <w:r>
              <w:rPr>
                <w:b/>
                <w:i/>
                <w:color w:val="595959"/>
                <w:sz w:val="15"/>
              </w:rPr>
              <w:t xml:space="preserve">Sugerencia — revisar: </w:t>
            </w:r>
            <w:r>
              <w:rPr>
                <w:b w:val="0"/>
                <w:i/>
                <w:color w:val="595959"/>
                <w:sz w:val="15"/>
              </w:rPr>
              <w:t>Revisión de borradores del párrafo argumentativo con pauta; retroalimentación oral durante las discusiones sobre los héroes leídos.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Los estudiantes escriben un párrafo para argumentar a favor de una interpretación de un texto leído en clases. (pág. 108)</w:t>
            </w:r>
          </w:p>
        </w:tc>
        <w:tc>
          <w:tcPr>
            <w:tcW w:type="dxa" w:w="1247"/>
          </w:tcPr>
          <w:p>
            <w:r/>
            <w:r>
              <w:rPr>
                <w:b/>
                <w:i/>
                <w:color w:val="595959"/>
                <w:sz w:val="15"/>
              </w:rPr>
              <w:t xml:space="preserve">Sugerencia — revisar: </w:t>
            </w:r>
            <w:r>
              <w:rPr>
                <w:b w:val="0"/>
                <w:i/>
                <w:color w:val="595959"/>
                <w:sz w:val="15"/>
              </w:rPr>
              <w:t>Antología de lecturas sugeridas de la unidad; organizadores gráficos para comparar personajes; pauta de escritura argumentativa.</w:t>
            </w:r>
          </w:p>
        </w:tc>
      </w:tr>
      <w:tr>
        <w:tc>
          <w:tcPr>
            <w:tcW w:type="dxa" w:w="1757"/>
          </w:tcPr>
          <w:p>
            <w:r/>
            <w:r>
              <w:rPr>
                <w:b/>
                <w:i w:val="0"/>
                <w:sz w:val="16"/>
              </w:rPr>
              <w:t>Unidad 2</w:t>
            </w:r>
          </w:p>
          <w:p>
            <w:r>
              <w:rPr>
                <w:b/>
                <w:i w:val="0"/>
                <w:sz w:val="16"/>
              </w:rPr>
              <w:t>La solidaridad y la amistad</w:t>
            </w:r>
          </w:p>
          <w:p>
            <w:r>
              <w:rPr>
                <w:b w:val="0"/>
                <w:i w:val="0"/>
                <w:sz w:val="15"/>
              </w:rPr>
              <w:t>Durante esta unidad los aprendizajes se engloban en el tema de la solidaridad y la amistad.</w:t>
            </w:r>
          </w:p>
          <w:p>
            <w:r>
              <w:rPr>
                <w:b w:val="0"/>
                <w:i w:val="0"/>
                <w:color w:val="595959"/>
                <w:sz w:val="14"/>
              </w:rPr>
              <w:t>Programa, págs. 111–143</w:t>
            </w:r>
          </w:p>
        </w:tc>
        <w:tc>
          <w:tcPr>
            <w:tcW w:type="dxa" w:w="1134"/>
          </w:tcPr>
          <w:p>
            <w:r/>
            <w:r>
              <w:rPr>
                <w:b/>
                <w:i w:val="0"/>
                <w:sz w:val="15"/>
              </w:rPr>
              <w:t>Semestre 1</w:t>
            </w:r>
          </w:p>
          <w:p>
            <w:r>
              <w:rPr>
                <w:b w:val="0"/>
                <w:i w:val="0"/>
                <w:sz w:val="15"/>
              </w:rPr>
              <w:t>31 h pedagógicas</w:t>
            </w:r>
          </w:p>
          <w:p>
            <w:r>
              <w:rPr>
                <w:b w:val="0"/>
                <w:i w:val="0"/>
                <w:color w:val="595959"/>
                <w:sz w:val="15"/>
              </w:rPr>
              <w:t>Semanas 6 a 9</w:t>
            </w:r>
          </w:p>
        </w:tc>
        <w:tc>
          <w:tcPr>
            <w:tcW w:type="dxa" w:w="1134"/>
          </w:tcPr>
          <w:p>
            <w:r/>
            <w:r>
              <w:rPr>
                <w:b/>
                <w:i w:val="0"/>
                <w:sz w:val="15"/>
              </w:rPr>
              <w:t>OA 1, OA 2, OA 3, OA 7, OA 10, OA 14, OA 15, OA 16, OA 21</w:t>
            </w:r>
          </w:p>
          <w:p>
            <w:r>
              <w:rPr>
                <w:b w:val="0"/>
                <w:i w:val="0"/>
                <w:color w:val="595959"/>
                <w:sz w:val="14"/>
              </w:rPr>
              <w:t>(texto en Anexo G)</w:t>
            </w:r>
          </w:p>
          <w:p>
            <w:r>
              <w:rPr>
                <w:b w:val="0"/>
                <w:i w:val="0"/>
                <w:sz w:val="14"/>
              </w:rPr>
              <w:t>Evaluados en los ejemplos del Programa:</w:t>
            </w:r>
          </w:p>
          <w:p>
            <w:r>
              <w:rPr>
                <w:b/>
                <w:i w:val="0"/>
                <w:sz w:val="15"/>
              </w:rPr>
              <w:t>OA 7, OA 14, OA 15</w:t>
            </w:r>
          </w:p>
        </w:tc>
        <w:tc>
          <w:tcPr>
            <w:tcW w:type="dxa" w:w="3413"/>
          </w:tcPr>
          <w:p>
            <w:r/>
            <w:r>
              <w:rPr>
                <w:b/>
                <w:i w:val="0"/>
                <w:sz w:val="15"/>
              </w:rPr>
              <w:t>Lecturas sugeridas (Programa, pág. 112)</w:t>
            </w:r>
          </w:p>
          <w:p>
            <w:pPr>
              <w:pStyle w:val="ListBullet"/>
              <w:spacing w:after="20"/>
              <w:ind w:left="198" w:hanging="170"/>
            </w:pPr>
            <w:r>
              <w:rPr>
                <w:b/>
                <w:i w:val="0"/>
                <w:sz w:val="15"/>
              </w:rPr>
              <w:t xml:space="preserve">Guillermo Blanco: </w:t>
            </w:r>
            <w:r>
              <w:rPr>
                <w:b w:val="0"/>
                <w:i w:val="0"/>
                <w:sz w:val="15"/>
              </w:rPr>
              <w:t>“Adiós a Ruibarbo”</w:t>
            </w:r>
          </w:p>
          <w:p>
            <w:pPr>
              <w:pStyle w:val="ListBullet"/>
              <w:spacing w:after="20"/>
              <w:ind w:left="198" w:hanging="170"/>
            </w:pPr>
            <w:r>
              <w:rPr>
                <w:b/>
                <w:i w:val="0"/>
                <w:sz w:val="15"/>
              </w:rPr>
              <w:t xml:space="preserve">John Boyne: </w:t>
            </w:r>
            <w:r>
              <w:rPr>
                <w:b w:val="0"/>
                <w:i w:val="0"/>
                <w:sz w:val="15"/>
              </w:rPr>
              <w:t>El niño con el pijama de rayas</w:t>
            </w:r>
          </w:p>
          <w:p>
            <w:pPr>
              <w:pStyle w:val="ListBullet"/>
              <w:spacing w:after="20"/>
              <w:ind w:left="198" w:hanging="170"/>
            </w:pPr>
            <w:r>
              <w:rPr>
                <w:b/>
                <w:i w:val="0"/>
                <w:sz w:val="15"/>
              </w:rPr>
              <w:t xml:space="preserve">Oscar Castro: </w:t>
            </w:r>
            <w:r>
              <w:rPr>
                <w:b w:val="0"/>
                <w:i w:val="0"/>
                <w:sz w:val="15"/>
              </w:rPr>
              <w:t>“Lucero”</w:t>
            </w:r>
          </w:p>
          <w:p>
            <w:pPr>
              <w:pStyle w:val="ListBullet"/>
              <w:spacing w:after="20"/>
              <w:ind w:left="198" w:hanging="170"/>
            </w:pPr>
            <w:r>
              <w:rPr>
                <w:b/>
                <w:i w:val="0"/>
                <w:sz w:val="15"/>
              </w:rPr>
              <w:t xml:space="preserve">Miguel de Cervantes: </w:t>
            </w:r>
            <w:r>
              <w:rPr>
                <w:b w:val="0"/>
                <w:i w:val="0"/>
                <w:sz w:val="15"/>
              </w:rPr>
              <w:t>“Capítulo XVII: el bálsamo de Fierabrás” en Don Quijote de la Mancha: primera parte</w:t>
            </w:r>
          </w:p>
          <w:p>
            <w:pPr>
              <w:pStyle w:val="ListBullet"/>
              <w:spacing w:after="20"/>
              <w:ind w:left="198" w:hanging="170"/>
            </w:pPr>
            <w:r>
              <w:rPr>
                <w:b/>
                <w:i w:val="0"/>
                <w:sz w:val="15"/>
              </w:rPr>
              <w:t xml:space="preserve">Jean de la Fontaine: </w:t>
            </w:r>
            <w:r>
              <w:rPr>
                <w:b w:val="0"/>
                <w:i w:val="0"/>
                <w:sz w:val="15"/>
              </w:rPr>
              <w:t>“Fábula 11: los dos amigos”</w:t>
            </w:r>
          </w:p>
          <w:p>
            <w:pPr>
              <w:pStyle w:val="ListBullet"/>
              <w:spacing w:after="20"/>
              <w:ind w:left="198" w:hanging="170"/>
            </w:pPr>
            <w:r>
              <w:rPr>
                <w:b/>
                <w:i w:val="0"/>
                <w:sz w:val="15"/>
              </w:rPr>
              <w:t xml:space="preserve">Recopilado por hermanos Grimm: </w:t>
            </w:r>
            <w:r>
              <w:rPr>
                <w:b w:val="0"/>
                <w:i w:val="0"/>
                <w:sz w:val="15"/>
              </w:rPr>
              <w:t>“El fiel Juan”</w:t>
            </w:r>
          </w:p>
          <w:p>
            <w:pPr>
              <w:pStyle w:val="ListBullet"/>
              <w:spacing w:after="20"/>
              <w:ind w:left="198" w:hanging="170"/>
            </w:pPr>
            <w:r>
              <w:rPr>
                <w:b/>
                <w:i w:val="0"/>
                <w:sz w:val="15"/>
              </w:rPr>
              <w:t xml:space="preserve">Antoine de Saint-Exupéry: </w:t>
            </w:r>
            <w:r>
              <w:rPr>
                <w:b w:val="0"/>
                <w:i w:val="0"/>
                <w:sz w:val="15"/>
              </w:rPr>
              <w:t>El principito; Vuelo Nocturno</w:t>
            </w:r>
          </w:p>
          <w:p>
            <w:pPr>
              <w:pStyle w:val="ListBullet"/>
              <w:spacing w:after="20"/>
              <w:ind w:left="198" w:hanging="170"/>
            </w:pPr>
            <w:r>
              <w:rPr>
                <w:b/>
                <w:i w:val="0"/>
                <w:sz w:val="15"/>
              </w:rPr>
              <w:t xml:space="preserve">José Mauro de Vasconcelos: </w:t>
            </w:r>
            <w:r>
              <w:rPr>
                <w:b w:val="0"/>
                <w:i w:val="0"/>
                <w:sz w:val="15"/>
              </w:rPr>
              <w:t>Mi planta de naranja lima</w:t>
            </w:r>
          </w:p>
          <w:p>
            <w:pPr>
              <w:pStyle w:val="ListBullet"/>
              <w:spacing w:after="20"/>
              <w:ind w:left="198" w:hanging="170"/>
            </w:pPr>
            <w:r>
              <w:rPr>
                <w:b/>
                <w:i w:val="0"/>
                <w:sz w:val="15"/>
              </w:rPr>
              <w:t xml:space="preserve">Paul Gallico: </w:t>
            </w:r>
            <w:r>
              <w:rPr>
                <w:b w:val="0"/>
                <w:i w:val="0"/>
                <w:sz w:val="15"/>
              </w:rPr>
              <w:t>“El ganso de las nieves”</w:t>
            </w:r>
          </w:p>
          <w:p>
            <w:pPr>
              <w:pStyle w:val="ListBullet"/>
              <w:spacing w:after="20"/>
              <w:ind w:left="198" w:hanging="170"/>
            </w:pPr>
            <w:r>
              <w:rPr>
                <w:b/>
                <w:i w:val="0"/>
                <w:sz w:val="15"/>
              </w:rPr>
              <w:t xml:space="preserve">Rudyard Kipling.: </w:t>
            </w:r>
            <w:r>
              <w:rPr>
                <w:b w:val="0"/>
                <w:i w:val="0"/>
                <w:sz w:val="15"/>
              </w:rPr>
              <w:t>El libro de las tierras vírgenes</w:t>
            </w:r>
          </w:p>
          <w:p>
            <w:pPr>
              <w:pStyle w:val="ListBullet"/>
              <w:spacing w:after="20"/>
              <w:ind w:left="198" w:hanging="170"/>
            </w:pPr>
            <w:r>
              <w:rPr>
                <w:b/>
                <w:i w:val="0"/>
                <w:sz w:val="15"/>
              </w:rPr>
              <w:t xml:space="preserve">Katherine Paterson: </w:t>
            </w:r>
            <w:r>
              <w:rPr>
                <w:b w:val="0"/>
                <w:i w:val="0"/>
                <w:sz w:val="15"/>
              </w:rPr>
              <w:t>Puente a Terabithia</w:t>
            </w:r>
          </w:p>
          <w:p>
            <w:pPr>
              <w:pStyle w:val="ListBullet"/>
              <w:spacing w:after="20"/>
              <w:ind w:left="198" w:hanging="170"/>
            </w:pPr>
            <w:r>
              <w:rPr>
                <w:b/>
                <w:i w:val="0"/>
                <w:sz w:val="15"/>
              </w:rPr>
              <w:t xml:space="preserve">Manuel Rojas: </w:t>
            </w:r>
            <w:r>
              <w:rPr>
                <w:b w:val="0"/>
                <w:i w:val="0"/>
                <w:sz w:val="15"/>
              </w:rPr>
              <w:t>“El vaso de leche” “El delincuente” “El trampolín” “Un ladrón y su mujer” “Laguna” “Un mendigo”</w:t>
            </w:r>
          </w:p>
          <w:p>
            <w:pPr>
              <w:pStyle w:val="ListBullet"/>
              <w:spacing w:after="20"/>
              <w:ind w:left="198" w:hanging="170"/>
            </w:pPr>
            <w:r>
              <w:rPr>
                <w:b/>
                <w:i w:val="0"/>
                <w:sz w:val="15"/>
              </w:rPr>
              <w:t xml:space="preserve">Julio Verne: </w:t>
            </w:r>
            <w:r>
              <w:rPr>
                <w:b w:val="0"/>
                <w:i w:val="0"/>
                <w:sz w:val="15"/>
              </w:rPr>
              <w:t>Dos años de vacaciones</w:t>
            </w:r>
          </w:p>
        </w:tc>
        <w:tc>
          <w:tcPr>
            <w:tcW w:type="dxa" w:w="4637"/>
          </w:tcPr>
          <w:p>
            <w:r/>
            <w:r>
              <w:rPr>
                <w:b/>
                <w:i w:val="0"/>
                <w:sz w:val="15"/>
              </w:rPr>
              <w:t>Ejemplo 1 (OA 7, OA 14, OA 15) · pág. 139</w:t>
            </w:r>
          </w:p>
          <w:p>
            <w:pPr>
              <w:pStyle w:val="ListBullet"/>
              <w:spacing w:after="20"/>
              <w:ind w:left="198" w:hanging="170"/>
            </w:pPr>
            <w:r>
              <w:rPr>
                <w:b w:val="0"/>
                <w:i w:val="0"/>
                <w:sz w:val="15"/>
              </w:rPr>
              <w:t>Ofrecen una interpretación del texto leído que aborda temas que van más allá de lo literal o de un mero recuento.</w:t>
            </w:r>
          </w:p>
          <w:p>
            <w:pPr>
              <w:pStyle w:val="ListBullet"/>
              <w:spacing w:after="20"/>
              <w:ind w:left="198" w:hanging="170"/>
            </w:pPr>
            <w:r>
              <w:rPr>
                <w:b w:val="0"/>
                <w:i w:val="0"/>
                <w:sz w:val="15"/>
              </w:rPr>
              <w:t>Relacionan el texto con sus propias experiencias y ofrecen una interpretación para un fragmento o el total de lo leído.</w:t>
            </w:r>
          </w:p>
          <w:p>
            <w:pPr>
              <w:pStyle w:val="ListBullet"/>
              <w:spacing w:after="20"/>
              <w:ind w:left="198" w:hanging="170"/>
            </w:pPr>
            <w:r>
              <w:rPr>
                <w:b w:val="0"/>
                <w:i w:val="0"/>
                <w:sz w:val="15"/>
              </w:rPr>
              <w:t>Plantean su postura frente a un dilema o situación problemática que se propone en el texto y fundamentan con ejemplos del mismo.</w:t>
            </w:r>
          </w:p>
          <w:p>
            <w:pPr>
              <w:pStyle w:val="ListBullet"/>
              <w:spacing w:after="20"/>
              <w:ind w:left="198" w:hanging="170"/>
            </w:pPr>
            <w:r>
              <w:rPr>
                <w:b w:val="0"/>
                <w:i w:val="0"/>
                <w:sz w:val="15"/>
              </w:rPr>
              <w:t>Escriben textos de diversos géneros con el fin de persuadir al lector respecto de algún tema.</w:t>
            </w:r>
          </w:p>
          <w:p>
            <w:pPr>
              <w:pStyle w:val="ListBullet"/>
              <w:spacing w:after="20"/>
              <w:ind w:left="198" w:hanging="170"/>
            </w:pPr>
            <w:r>
              <w:rPr>
                <w:b w:val="0"/>
                <w:i w:val="0"/>
                <w:sz w:val="15"/>
              </w:rPr>
              <w:t>Mencionan su postura frente al tema, al principio del texto.</w:t>
            </w:r>
          </w:p>
          <w:p>
            <w:pPr>
              <w:pStyle w:val="ListBullet"/>
              <w:spacing w:after="20"/>
              <w:ind w:left="198" w:hanging="170"/>
            </w:pPr>
            <w:r>
              <w:rPr>
                <w:b w:val="0"/>
                <w:i w:val="0"/>
                <w:sz w:val="15"/>
              </w:rPr>
              <w:t>Usan evidencias e información que se relaciona directamente con los argumentos empleados.</w:t>
            </w:r>
          </w:p>
          <w:p>
            <w:pPr>
              <w:pStyle w:val="ListBullet"/>
              <w:spacing w:after="20"/>
              <w:ind w:left="198" w:hanging="170"/>
            </w:pPr>
            <w:r>
              <w:rPr>
                <w:b w:val="0"/>
                <w:i w:val="0"/>
                <w:sz w:val="15"/>
              </w:rPr>
              <w:t>Fundamentan su postura, usando ejemplos de un texto (literario o no literario), casos de la vida cotidiana, conocimientos previos sobre el tema, etc.</w:t>
            </w:r>
          </w:p>
          <w:p>
            <w:pPr>
              <w:pStyle w:val="ListBullet"/>
              <w:spacing w:after="20"/>
              <w:ind w:left="198" w:hanging="170"/>
            </w:pPr>
            <w:r>
              <w:rPr>
                <w:b w:val="0"/>
                <w:i w:val="0"/>
                <w:sz w:val="15"/>
              </w:rPr>
              <w:t>Seleccionan la información que se relaciona directamente con el tema y descartan la que no es pertinente.</w:t>
            </w:r>
          </w:p>
          <w:p>
            <w:pPr>
              <w:pStyle w:val="ListBullet"/>
              <w:spacing w:after="20"/>
              <w:ind w:left="198" w:hanging="170"/>
            </w:pPr>
            <w:r>
              <w:rPr>
                <w:b w:val="0"/>
                <w:i w:val="0"/>
                <w:sz w:val="15"/>
              </w:rPr>
              <w:t>Ordenan y agrupan la información seleccionada.</w:t>
            </w:r>
          </w:p>
          <w:p>
            <w:pPr>
              <w:pStyle w:val="ListBullet"/>
              <w:spacing w:after="20"/>
              <w:ind w:left="198" w:hanging="170"/>
            </w:pPr>
            <w:r>
              <w:rPr>
                <w:b w:val="0"/>
                <w:i w:val="0"/>
                <w:sz w:val="15"/>
              </w:rPr>
              <w:t>Organizan sus ideas e información en torno a diferentes categorías o temas, usando organizadores gráficos o esquemas.</w:t>
            </w:r>
          </w:p>
          <w:p>
            <w:pPr>
              <w:pStyle w:val="ListBullet"/>
              <w:spacing w:after="20"/>
              <w:ind w:left="198" w:hanging="170"/>
            </w:pPr>
            <w:r>
              <w:rPr>
                <w:b w:val="0"/>
                <w:i w:val="0"/>
                <w:sz w:val="15"/>
              </w:rPr>
              <w:t>Emplean la estructura del género que han seleccionado.</w:t>
            </w:r>
          </w:p>
          <w:p>
            <w:r>
              <w:rPr>
                <w:b/>
                <w:i w:val="0"/>
                <w:sz w:val="15"/>
              </w:rPr>
              <w:t>Ejemplo 2 (OA 7, OA 14, OA 15) · pág. 141</w:t>
            </w:r>
          </w:p>
          <w:p>
            <w:pPr>
              <w:pStyle w:val="ListBullet"/>
              <w:spacing w:after="20"/>
              <w:ind w:left="198" w:hanging="170"/>
            </w:pPr>
            <w:r>
              <w:rPr>
                <w:b w:val="0"/>
                <w:i w:val="0"/>
                <w:sz w:val="15"/>
              </w:rPr>
              <w:t>Ofrecen una interpretación del texto leído que aborda temas que van más allá de lo literal o de un mero recuento.</w:t>
            </w:r>
          </w:p>
          <w:p>
            <w:pPr>
              <w:pStyle w:val="ListBullet"/>
              <w:spacing w:after="20"/>
              <w:ind w:left="198" w:hanging="170"/>
            </w:pPr>
            <w:r>
              <w:rPr>
                <w:b w:val="0"/>
                <w:i w:val="0"/>
                <w:sz w:val="15"/>
              </w:rPr>
              <w:t>Plantean su postura frente a un dilema o situación problemática que se propone en el texto y fundamentan con ejemplos del mismo.</w:t>
            </w:r>
          </w:p>
          <w:p>
            <w:pPr>
              <w:pStyle w:val="ListBullet"/>
              <w:spacing w:after="20"/>
              <w:ind w:left="198" w:hanging="170"/>
            </w:pPr>
            <w:r>
              <w:rPr>
                <w:b w:val="0"/>
                <w:i w:val="0"/>
                <w:sz w:val="15"/>
              </w:rPr>
              <w:t>Mencionan su postura frente al tema, al principio del texto.</w:t>
            </w:r>
          </w:p>
          <w:p>
            <w:pPr>
              <w:pStyle w:val="ListBullet"/>
              <w:spacing w:after="20"/>
              <w:ind w:left="198" w:hanging="170"/>
            </w:pPr>
            <w:r>
              <w:rPr>
                <w:b w:val="0"/>
                <w:i w:val="0"/>
                <w:sz w:val="15"/>
              </w:rPr>
              <w:t>Usan evidencias e información que se relaciona directamente con los argumentos empleados.</w:t>
            </w:r>
          </w:p>
          <w:p>
            <w:pPr>
              <w:pStyle w:val="ListBullet"/>
              <w:spacing w:after="20"/>
              <w:ind w:left="198" w:hanging="170"/>
            </w:pPr>
            <w:r>
              <w:rPr>
                <w:b w:val="0"/>
                <w:i w:val="0"/>
                <w:sz w:val="15"/>
              </w:rPr>
              <w:t>Fundamentan su postura, usando ejemplos de un texto (literario o no literario), casos de la vida cotidiana, conocimientos previos sobre el tema, etc.</w:t>
            </w:r>
          </w:p>
          <w:p>
            <w:pPr>
              <w:pStyle w:val="ListBullet"/>
              <w:spacing w:after="20"/>
              <w:ind w:left="198" w:hanging="170"/>
            </w:pPr>
            <w:r>
              <w:rPr>
                <w:b w:val="0"/>
                <w:i w:val="0"/>
                <w:sz w:val="15"/>
              </w:rPr>
              <w:t>Escriben textos en que cada una de las oraciones contribuye al desarrollo de la idea central del párrafo.</w:t>
            </w:r>
          </w:p>
          <w:p>
            <w:pPr>
              <w:pStyle w:val="ListBullet"/>
              <w:spacing w:after="20"/>
              <w:ind w:left="198" w:hanging="170"/>
            </w:pPr>
            <w:r>
              <w:rPr>
                <w:b w:val="0"/>
                <w:i w:val="0"/>
                <w:sz w:val="15"/>
              </w:rPr>
              <w:t>Escriben textos en que cada uno de los párrafos aborda un tema que se relaciona directamente con la postura que se quiere transmitir.</w:t>
            </w:r>
          </w:p>
          <w:p>
            <w:pPr>
              <w:pStyle w:val="ListBullet"/>
              <w:spacing w:after="20"/>
              <w:ind w:left="198" w:hanging="170"/>
            </w:pPr>
            <w:r>
              <w:rPr>
                <w:b w:val="0"/>
                <w:i w:val="0"/>
                <w:sz w:val="15"/>
              </w:rPr>
              <w:t>Recopilan documentos o páginas de internet que puedan aportar información para el tema.</w:t>
            </w:r>
          </w:p>
          <w:p>
            <w:pPr>
              <w:pStyle w:val="ListBullet"/>
              <w:spacing w:after="20"/>
              <w:ind w:left="198" w:hanging="170"/>
            </w:pPr>
            <w:r>
              <w:rPr>
                <w:b w:val="0"/>
                <w:i w:val="0"/>
                <w:sz w:val="15"/>
              </w:rPr>
              <w:t>Seleccionan la información que se relaciona directamente con el tema y descartan la que no es pertinente.</w:t>
            </w:r>
          </w:p>
          <w:p>
            <w:pPr>
              <w:pStyle w:val="ListBullet"/>
              <w:spacing w:after="20"/>
              <w:ind w:left="198" w:hanging="170"/>
            </w:pPr>
            <w:r>
              <w:rPr>
                <w:b w:val="0"/>
                <w:i w:val="0"/>
                <w:sz w:val="15"/>
              </w:rPr>
              <w:t>Ordenan y agrupan la información seleccionada.</w:t>
            </w:r>
          </w:p>
          <w:p>
            <w:pPr>
              <w:pStyle w:val="ListBullet"/>
              <w:spacing w:after="20"/>
              <w:ind w:left="198" w:hanging="170"/>
            </w:pPr>
            <w:r>
              <w:rPr>
                <w:b w:val="0"/>
                <w:i w:val="0"/>
                <w:sz w:val="15"/>
              </w:rPr>
              <w:t>Organizan sus ideas e información en torno a diferentes categorías o temas, usando organizadores gráficos o esquemas.</w:t>
            </w:r>
          </w:p>
          <w:p>
            <w:pPr>
              <w:pStyle w:val="ListBullet"/>
              <w:spacing w:after="20"/>
              <w:ind w:left="198" w:hanging="170"/>
            </w:pPr>
            <w:r>
              <w:rPr>
                <w:b w:val="0"/>
                <w:i w:val="0"/>
                <w:sz w:val="15"/>
              </w:rPr>
              <w:t>Emplean un vocabulario pertinente al tema y al destinatario.</w:t>
            </w:r>
          </w:p>
          <w:p>
            <w:pPr>
              <w:pStyle w:val="ListBullet"/>
              <w:spacing w:after="20"/>
              <w:ind w:left="198" w:hanging="170"/>
            </w:pPr>
            <w:r>
              <w:rPr>
                <w:b w:val="0"/>
                <w:i w:val="0"/>
                <w:sz w:val="15"/>
              </w:rPr>
              <w:t>Usan términos técnicos cuando el tema lo requiere.</w:t>
            </w:r>
          </w:p>
          <w:p>
            <w:pPr>
              <w:pStyle w:val="ListBullet"/>
              <w:spacing w:after="20"/>
              <w:ind w:left="198" w:hanging="170"/>
            </w:pPr>
            <w:r>
              <w:rPr>
                <w:b w:val="0"/>
                <w:i w:val="0"/>
                <w:sz w:val="15"/>
              </w:rPr>
              <w:t>Usan un registro y una sintaxis propios de los textos escritos y adecuados al destinatario.</w:t>
            </w:r>
          </w:p>
          <w:p>
            <w:pPr>
              <w:pStyle w:val="ListBullet"/>
              <w:spacing w:after="20"/>
              <w:ind w:left="198" w:hanging="170"/>
            </w:pPr>
            <w:r>
              <w:rPr>
                <w:b w:val="0"/>
                <w:i w:val="0"/>
                <w:sz w:val="15"/>
              </w:rPr>
              <w:t>Emplean la estructura del género que han seleccionado.</w:t>
            </w:r>
          </w:p>
          <w:p>
            <w:pPr>
              <w:pStyle w:val="ListBullet"/>
              <w:spacing w:after="20"/>
              <w:ind w:left="198" w:hanging="170"/>
            </w:pPr>
            <w:r>
              <w:rPr>
                <w:b w:val="0"/>
                <w:i w:val="0"/>
                <w:sz w:val="15"/>
              </w:rPr>
              <w:t>Reorganizan, si es necesario, los párrafos para que estos tengan una progresión temática coherente.</w:t>
            </w:r>
          </w:p>
          <w:p>
            <w:pPr>
              <w:pStyle w:val="ListBullet"/>
              <w:spacing w:after="20"/>
              <w:ind w:left="198" w:hanging="170"/>
            </w:pPr>
            <w:r>
              <w:rPr>
                <w:b w:val="0"/>
                <w:i w:val="0"/>
                <w:sz w:val="15"/>
              </w:rPr>
              <w:t>Eliminan información superflua.</w:t>
            </w:r>
          </w:p>
          <w:p>
            <w:pPr>
              <w:pStyle w:val="ListBullet"/>
              <w:spacing w:after="20"/>
              <w:ind w:left="198" w:hanging="170"/>
            </w:pPr>
            <w:r>
              <w:rPr>
                <w:b w:val="0"/>
                <w:i w:val="0"/>
                <w:sz w:val="15"/>
              </w:rPr>
              <w:t>Incorporan, cuando es necesario, conectores que ayudan al lector a comprender la relación que hay entre las oraciones de un mismo párrafo.</w:t>
            </w:r>
          </w:p>
        </w:tc>
        <w:tc>
          <w:tcPr>
            <w:tcW w:type="dxa" w:w="1474"/>
          </w:tcPr>
          <w:p>
            <w:r/>
            <w:r>
              <w:rPr>
                <w:b/>
                <w:i w:val="0"/>
                <w:sz w:val="15"/>
              </w:rPr>
              <w:t xml:space="preserve">OA A: </w:t>
            </w:r>
            <w:r>
              <w:rPr>
                <w:b w:val="0"/>
                <w:i w:val="0"/>
                <w:sz w:val="15"/>
              </w:rPr>
              <w:t>Manifestar disposición a formarse un pensamiento propio, reflexivo e informado, mediante una lectura crítica y el diálogo con otros.</w:t>
            </w:r>
          </w:p>
          <w:p>
            <w:r>
              <w:rPr>
                <w:b/>
                <w:i w:val="0"/>
                <w:sz w:val="15"/>
              </w:rPr>
              <w:t xml:space="preserve">OA D: </w:t>
            </w:r>
            <w:r>
              <w:rPr>
                <w:b w:val="0"/>
                <w:i w:val="0"/>
                <w:sz w:val="15"/>
              </w:rPr>
              <w:t>Valorar la diversidad de perspectivas, creencias y culturas, presentes en su entorno y el mundo, como manifestación de la libertad, creatividad y dignidad humana.</w:t>
            </w:r>
          </w:p>
          <w:p>
            <w:r>
              <w:rPr>
                <w:b/>
                <w:i w:val="0"/>
                <w:sz w:val="15"/>
              </w:rPr>
              <w:t xml:space="preserve">OA F: </w:t>
            </w:r>
            <w:r>
              <w:rPr>
                <w:b w:val="0"/>
                <w:i w:val="0"/>
                <w:sz w:val="15"/>
              </w:rPr>
              <w:t>Valorar la evidencia y la búsqueda de conocimientos que apoyen sus aseveraciones.</w:t>
            </w:r>
          </w:p>
        </w:tc>
        <w:tc>
          <w:tcPr>
            <w:tcW w:type="dxa" w:w="1871"/>
          </w:tcPr>
          <w:p>
            <w:r/>
            <w:r>
              <w:rPr>
                <w:b/>
                <w:i w:val="0"/>
                <w:sz w:val="15"/>
              </w:rPr>
              <w:t xml:space="preserve">Formativa. </w:t>
            </w:r>
            <w:r>
              <w:rPr>
                <w:b/>
                <w:i/>
                <w:color w:val="595959"/>
                <w:sz w:val="15"/>
              </w:rPr>
              <w:t xml:space="preserve">Sugerencia — revisar: </w:t>
            </w:r>
            <w:r>
              <w:rPr>
                <w:b w:val="0"/>
                <w:i/>
                <w:color w:val="595959"/>
                <w:sz w:val="15"/>
              </w:rPr>
              <w:t>Tickets de salida sobre las lecturas; coevaluación de borradores con pauta durante el proceso de escritura.</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Una vez que los estudiantes han leído El Principito de Antoine de Saint-Exupéry y lo han discutido en clases, el docente plantea una pregunta a los estudiantes para que escriban una carta a un compañero de curso en la que lo convenzan de la postura que tienen frente a un tema propuesto por el profesor. (pág. 139)</w:t>
            </w:r>
          </w:p>
          <w:p>
            <w:pPr>
              <w:pStyle w:val="ListBullet"/>
              <w:spacing w:after="20"/>
              <w:ind w:left="198" w:hanging="170"/>
            </w:pPr>
            <w:r>
              <w:rPr>
                <w:b/>
                <w:i w:val="0"/>
                <w:sz w:val="15"/>
              </w:rPr>
              <w:t xml:space="preserve">Ejemplo 2: </w:t>
            </w:r>
            <w:r>
              <w:rPr>
                <w:b w:val="0"/>
                <w:i w:val="0"/>
                <w:sz w:val="15"/>
              </w:rPr>
              <w:t>Una vez que el docente ha revisado y comentado los organizadores gráficos que los estudiantes realizaron en la actividad de evaluación 1, los alumnos resuelven los problemas que tenían o, de ser necesario, agregan más información. Instrumento: Pauta de evaluación. (pág. 141)</w:t>
            </w:r>
          </w:p>
        </w:tc>
        <w:tc>
          <w:tcPr>
            <w:tcW w:type="dxa" w:w="1247"/>
          </w:tcPr>
          <w:p>
            <w:r/>
            <w:r>
              <w:rPr>
                <w:b/>
                <w:i/>
                <w:color w:val="595959"/>
                <w:sz w:val="15"/>
              </w:rPr>
              <w:t xml:space="preserve">Sugerencia — revisar: </w:t>
            </w:r>
            <w:r>
              <w:rPr>
                <w:b w:val="0"/>
                <w:i/>
                <w:color w:val="595959"/>
                <w:sz w:val="15"/>
              </w:rPr>
              <w:t>Novela o cuentos seleccionados sobre amistad y solidaridad; artículos breves de contexto; procesador de textos.</w:t>
            </w:r>
          </w:p>
        </w:tc>
      </w:tr>
      <w:tr>
        <w:tc>
          <w:tcPr>
            <w:tcW w:type="dxa" w:w="1757"/>
          </w:tcPr>
          <w:p>
            <w:r/>
            <w:r>
              <w:rPr>
                <w:b/>
                <w:i w:val="0"/>
                <w:sz w:val="16"/>
              </w:rPr>
              <w:t>Unidad 3</w:t>
            </w:r>
          </w:p>
          <w:p>
            <w:r>
              <w:rPr>
                <w:b/>
                <w:i w:val="0"/>
                <w:sz w:val="16"/>
              </w:rPr>
              <w:t>Mitología y relatos de creación</w:t>
            </w:r>
          </w:p>
          <w:p>
            <w:r>
              <w:rPr>
                <w:b w:val="0"/>
                <w:i w:val="0"/>
                <w:sz w:val="15"/>
              </w:rPr>
              <w:t>El propósito de la unidad es que los estudiantes lean, investiguen y escriban acerca de textos seleccionados por el docente, relacionados con la mitología y los relatos de creación.</w:t>
            </w:r>
          </w:p>
          <w:p>
            <w:r>
              <w:rPr>
                <w:b w:val="0"/>
                <w:i w:val="0"/>
                <w:color w:val="595959"/>
                <w:sz w:val="14"/>
              </w:rPr>
              <w:t>Programa, págs. 144–182</w:t>
            </w:r>
          </w:p>
        </w:tc>
        <w:tc>
          <w:tcPr>
            <w:tcW w:type="dxa" w:w="1134"/>
          </w:tcPr>
          <w:p>
            <w:r/>
            <w:r>
              <w:rPr>
                <w:b/>
                <w:i w:val="0"/>
                <w:sz w:val="15"/>
              </w:rPr>
              <w:t>Semestre 1</w:t>
            </w:r>
          </w:p>
          <w:p>
            <w:r>
              <w:rPr>
                <w:b w:val="0"/>
                <w:i w:val="0"/>
                <w:sz w:val="15"/>
              </w:rPr>
              <w:t>36 h pedagógicas</w:t>
            </w:r>
          </w:p>
          <w:p>
            <w:r>
              <w:rPr>
                <w:b w:val="0"/>
                <w:i w:val="0"/>
                <w:color w:val="595959"/>
                <w:sz w:val="15"/>
              </w:rPr>
              <w:t>Semanas 10 a 14</w:t>
            </w:r>
          </w:p>
        </w:tc>
        <w:tc>
          <w:tcPr>
            <w:tcW w:type="dxa" w:w="1134"/>
          </w:tcPr>
          <w:p>
            <w:r/>
            <w:r>
              <w:rPr>
                <w:b/>
                <w:i w:val="0"/>
                <w:sz w:val="15"/>
              </w:rPr>
              <w:t>OA 1, OA 2, OA 3, OA 6, OA 7, OA 13, OA 15, OA 22, OA 24, OA 25</w:t>
            </w:r>
          </w:p>
          <w:p>
            <w:r>
              <w:rPr>
                <w:b w:val="0"/>
                <w:i w:val="0"/>
                <w:color w:val="595959"/>
                <w:sz w:val="14"/>
              </w:rPr>
              <w:t>(texto en Anexo G)</w:t>
            </w:r>
          </w:p>
          <w:p>
            <w:r>
              <w:rPr>
                <w:b w:val="0"/>
                <w:i w:val="0"/>
                <w:sz w:val="14"/>
              </w:rPr>
              <w:t>Evaluados en los ejemplos del Programa:</w:t>
            </w:r>
          </w:p>
          <w:p>
            <w:r>
              <w:rPr>
                <w:b/>
                <w:i w:val="0"/>
                <w:sz w:val="15"/>
              </w:rPr>
              <w:t>OA 24</w:t>
            </w:r>
          </w:p>
        </w:tc>
        <w:tc>
          <w:tcPr>
            <w:tcW w:type="dxa" w:w="3413"/>
          </w:tcPr>
          <w:p>
            <w:r/>
            <w:r>
              <w:rPr>
                <w:b/>
                <w:i w:val="0"/>
                <w:sz w:val="15"/>
              </w:rPr>
              <w:t>Lecturas sugeridas (Programa, pág. 145)</w:t>
            </w:r>
          </w:p>
          <w:p>
            <w:pPr>
              <w:pStyle w:val="ListBullet"/>
              <w:spacing w:after="20"/>
              <w:ind w:left="198" w:hanging="170"/>
            </w:pPr>
            <w:r>
              <w:rPr>
                <w:b/>
                <w:i w:val="0"/>
                <w:sz w:val="15"/>
              </w:rPr>
              <w:t xml:space="preserve">Recopilado por Sebastián Englert: </w:t>
            </w:r>
            <w:r>
              <w:rPr>
                <w:b w:val="0"/>
                <w:i w:val="0"/>
                <w:sz w:val="15"/>
              </w:rPr>
              <w:t>“Makemake creador” en Leyendas de Isla de Pascua</w:t>
            </w:r>
          </w:p>
          <w:p>
            <w:pPr>
              <w:pStyle w:val="ListBullet"/>
              <w:spacing w:after="20"/>
              <w:ind w:left="198" w:hanging="170"/>
            </w:pPr>
            <w:r>
              <w:rPr>
                <w:b/>
                <w:i w:val="0"/>
                <w:sz w:val="15"/>
              </w:rPr>
              <w:t xml:space="preserve">Versión de Robert Graves: </w:t>
            </w:r>
            <w:r>
              <w:rPr>
                <w:b w:val="0"/>
                <w:i w:val="0"/>
                <w:sz w:val="15"/>
              </w:rPr>
              <w:t>“Mitos homérico y órfico de la creación” en Mitos griegos.</w:t>
            </w:r>
          </w:p>
          <w:p>
            <w:pPr>
              <w:pStyle w:val="ListBullet"/>
              <w:spacing w:after="20"/>
              <w:ind w:left="198" w:hanging="170"/>
            </w:pPr>
            <w:r>
              <w:rPr>
                <w:b/>
                <w:i w:val="0"/>
                <w:sz w:val="15"/>
              </w:rPr>
              <w:t xml:space="preserve">Recopilado por Arnoldo Canclini: </w:t>
            </w:r>
            <w:r>
              <w:rPr>
                <w:b w:val="0"/>
                <w:i w:val="0"/>
                <w:sz w:val="15"/>
              </w:rPr>
              <w:t>“Kenos, creador de los hombres” en Leyendas de la tierra del fuego</w:t>
            </w:r>
          </w:p>
          <w:p>
            <w:pPr>
              <w:pStyle w:val="ListBullet"/>
              <w:spacing w:after="20"/>
              <w:ind w:left="198" w:hanging="170"/>
            </w:pPr>
            <w:r>
              <w:rPr>
                <w:b/>
                <w:i w:val="0"/>
                <w:sz w:val="15"/>
              </w:rPr>
              <w:t xml:space="preserve">Versión de Neil Philip: </w:t>
            </w:r>
            <w:r>
              <w:rPr>
                <w:b w:val="0"/>
                <w:i w:val="0"/>
                <w:sz w:val="15"/>
              </w:rPr>
              <w:t>“El huevo cósmico” (mito chino de la creación) en El libro ilustrado de los mitos; Mitología Clásica</w:t>
            </w:r>
          </w:p>
          <w:p>
            <w:pPr>
              <w:pStyle w:val="ListBullet"/>
              <w:spacing w:after="20"/>
              <w:ind w:left="198" w:hanging="170"/>
            </w:pPr>
            <w:r>
              <w:rPr>
                <w:b/>
                <w:i w:val="0"/>
                <w:sz w:val="15"/>
              </w:rPr>
              <w:t xml:space="preserve">Ovidio: </w:t>
            </w:r>
            <w:r>
              <w:rPr>
                <w:b w:val="0"/>
                <w:i w:val="0"/>
                <w:sz w:val="15"/>
              </w:rPr>
              <w:t>“El juicio de Paris” en Las metamorfosis</w:t>
            </w:r>
          </w:p>
          <w:p>
            <w:pPr>
              <w:pStyle w:val="ListBullet"/>
              <w:spacing w:after="20"/>
              <w:ind w:left="198" w:hanging="170"/>
            </w:pPr>
            <w:r>
              <w:rPr>
                <w:b/>
                <w:i w:val="0"/>
                <w:sz w:val="15"/>
              </w:rPr>
              <w:t xml:space="preserve">Versión de Mario Meunier: </w:t>
            </w:r>
            <w:r>
              <w:rPr>
                <w:b w:val="0"/>
                <w:i w:val="0"/>
                <w:sz w:val="15"/>
              </w:rPr>
              <w:t>“Teseo”</w:t>
            </w:r>
          </w:p>
          <w:p>
            <w:pPr>
              <w:pStyle w:val="ListBullet"/>
              <w:spacing w:after="20"/>
              <w:ind w:left="198" w:hanging="170"/>
            </w:pPr>
            <w:r>
              <w:rPr>
                <w:b/>
                <w:i w:val="0"/>
                <w:sz w:val="15"/>
              </w:rPr>
              <w:t xml:space="preserve">Versión de Robert Graves: </w:t>
            </w:r>
            <w:r>
              <w:rPr>
                <w:b w:val="0"/>
                <w:i w:val="0"/>
                <w:sz w:val="15"/>
              </w:rPr>
              <w:t>“El nacimiento de Afrodita”; “Narciso”; “El nacimiento de Hermes, Apolo, Ártemis y Dionisio” en Mitos griegos; Mitología Universal</w:t>
            </w:r>
          </w:p>
          <w:p>
            <w:pPr>
              <w:pStyle w:val="ListBullet"/>
              <w:spacing w:after="20"/>
              <w:ind w:left="198" w:hanging="170"/>
            </w:pPr>
            <w:r>
              <w:rPr>
                <w:b/>
                <w:i w:val="0"/>
                <w:sz w:val="15"/>
              </w:rPr>
              <w:t xml:space="preserve">Eduardo Galeano: </w:t>
            </w:r>
            <w:r>
              <w:rPr>
                <w:b w:val="0"/>
                <w:i w:val="0"/>
                <w:sz w:val="15"/>
              </w:rPr>
              <w:t>Memoria del fuego I: Los nacimientos (selección de la sección “Primeras voces”)</w:t>
            </w:r>
          </w:p>
          <w:p>
            <w:pPr>
              <w:pStyle w:val="ListBullet"/>
              <w:spacing w:after="20"/>
              <w:ind w:left="198" w:hanging="170"/>
            </w:pPr>
            <w:r>
              <w:rPr>
                <w:b/>
                <w:i w:val="0"/>
                <w:sz w:val="15"/>
              </w:rPr>
              <w:t xml:space="preserve">Versión de Neil Philip: </w:t>
            </w:r>
            <w:r>
              <w:rPr>
                <w:b w:val="0"/>
                <w:i w:val="0"/>
                <w:sz w:val="15"/>
              </w:rPr>
              <w:t>“Quetzalcóatl” en El libro ilustrado de los mitos; “Isis y Osiris” en El libro ilustrado de los mitos; “Gilgamesh” en El libro ilustrado de los mitos; Inti y Mama Quilla (mito inca)</w:t>
            </w:r>
          </w:p>
          <w:p>
            <w:pPr>
              <w:pStyle w:val="ListBullet"/>
              <w:spacing w:after="20"/>
              <w:ind w:left="198" w:hanging="170"/>
            </w:pPr>
            <w:r>
              <w:rPr>
                <w:b w:val="0"/>
                <w:i w:val="0"/>
                <w:sz w:val="15"/>
              </w:rPr>
              <w:t>Francisco de Ávila (trad. de José</w:t>
            </w:r>
          </w:p>
          <w:p>
            <w:pPr>
              <w:pStyle w:val="ListBullet"/>
              <w:spacing w:after="20"/>
              <w:ind w:left="198" w:hanging="170"/>
            </w:pPr>
            <w:r>
              <w:rPr>
                <w:b/>
                <w:i w:val="0"/>
                <w:sz w:val="15"/>
              </w:rPr>
              <w:t xml:space="preserve">María Arguedas): </w:t>
            </w:r>
            <w:r>
              <w:rPr>
                <w:b w:val="0"/>
                <w:i w:val="0"/>
                <w:sz w:val="15"/>
              </w:rPr>
              <w:t>“Capítulo III: Cómo pasó antiguamente los indios cuando reventó la mar” en Dioses y hombres de Huarochirí; Yemanjá (mito brasileño)</w:t>
            </w:r>
          </w:p>
        </w:tc>
        <w:tc>
          <w:tcPr>
            <w:tcW w:type="dxa" w:w="4637"/>
          </w:tcPr>
          <w:p>
            <w:r/>
            <w:r>
              <w:rPr>
                <w:b/>
                <w:i w:val="0"/>
                <w:sz w:val="15"/>
              </w:rPr>
              <w:t>Ejemplo 1 (OA 24) · pág. 181</w:t>
            </w:r>
          </w:p>
          <w:p>
            <w:pPr>
              <w:pStyle w:val="ListBullet"/>
              <w:spacing w:after="20"/>
              <w:ind w:left="198" w:hanging="170"/>
            </w:pPr>
            <w:r>
              <w:rPr>
                <w:b w:val="0"/>
                <w:i w:val="0"/>
                <w:sz w:val="15"/>
              </w:rPr>
              <w:t>Buscan más fuentes cuando no han recopilado suficiente información o la información encontrada no aporta a su tema de investigación.</w:t>
            </w:r>
          </w:p>
          <w:p>
            <w:pPr>
              <w:pStyle w:val="ListBullet"/>
              <w:spacing w:after="20"/>
              <w:ind w:left="198" w:hanging="170"/>
            </w:pPr>
            <w:r>
              <w:rPr>
                <w:b w:val="0"/>
                <w:i w:val="0"/>
                <w:sz w:val="15"/>
              </w:rPr>
              <w:t>Anotan categorías que sirven para organizar la información relativa al tema.</w:t>
            </w:r>
          </w:p>
          <w:p>
            <w:pPr>
              <w:pStyle w:val="ListBullet"/>
              <w:spacing w:after="20"/>
              <w:ind w:left="198" w:hanging="170"/>
            </w:pPr>
            <w:r>
              <w:rPr>
                <w:b w:val="0"/>
                <w:i w:val="0"/>
                <w:sz w:val="15"/>
              </w:rPr>
              <w:t>Agrupan la información en torno a las categorías establecidas.</w:t>
            </w:r>
          </w:p>
          <w:p>
            <w:pPr>
              <w:pStyle w:val="ListBullet"/>
              <w:spacing w:after="20"/>
              <w:ind w:left="198" w:hanging="170"/>
            </w:pPr>
            <w:r>
              <w:rPr>
                <w:b w:val="0"/>
                <w:i w:val="0"/>
                <w:sz w:val="15"/>
              </w:rPr>
              <w:t>Hacen una lista de las fuentes consultadas.</w:t>
            </w:r>
          </w:p>
          <w:p>
            <w:pPr>
              <w:pStyle w:val="ListBullet"/>
              <w:spacing w:after="20"/>
              <w:ind w:left="198" w:hanging="170"/>
            </w:pPr>
            <w:r>
              <w:rPr>
                <w:b w:val="0"/>
                <w:i w:val="0"/>
                <w:sz w:val="15"/>
              </w:rPr>
              <w:t>Describen brevemente el contenido de cada una de las fuentes consultadas, incluyendo título y autor.</w:t>
            </w:r>
          </w:p>
        </w:tc>
        <w:tc>
          <w:tcPr>
            <w:tcW w:type="dxa" w:w="1474"/>
          </w:tcPr>
          <w:p>
            <w:r/>
            <w:r>
              <w:rPr>
                <w:b/>
                <w:i w:val="0"/>
                <w:sz w:val="15"/>
              </w:rPr>
              <w:t xml:space="preserve">OA A: </w:t>
            </w:r>
            <w:r>
              <w:rPr>
                <w:b w:val="0"/>
                <w:i w:val="0"/>
                <w:sz w:val="15"/>
              </w:rPr>
              <w:t>Manifestar disposición a formarse un pensamiento propio, reflexivo e informado, mediante una lectura crítica y el diálogo con otros.</w:t>
            </w:r>
          </w:p>
          <w:p>
            <w:r>
              <w:rPr>
                <w:b/>
                <w:i w:val="0"/>
                <w:sz w:val="15"/>
              </w:rPr>
              <w:t xml:space="preserve">OA G: </w:t>
            </w:r>
            <w:r>
              <w:rPr>
                <w:b w:val="0"/>
                <w:i w:val="0"/>
                <w:sz w:val="15"/>
              </w:rPr>
              <w:t>Realizar tareas y trabajos de forma rigurosa y perseverante, entendiendo que los logros se obtienen solo después de un trabajo prolongado.</w:t>
            </w:r>
          </w:p>
        </w:tc>
        <w:tc>
          <w:tcPr>
            <w:tcW w:type="dxa" w:w="1871"/>
          </w:tcPr>
          <w:p>
            <w:r/>
            <w:r>
              <w:rPr>
                <w:b/>
                <w:i w:val="0"/>
                <w:sz w:val="15"/>
              </w:rPr>
              <w:t xml:space="preserve">Formativa. </w:t>
            </w:r>
            <w:r>
              <w:rPr>
                <w:b/>
                <w:i/>
                <w:color w:val="595959"/>
                <w:sz w:val="15"/>
              </w:rPr>
              <w:t xml:space="preserve">Sugerencia — revisar: </w:t>
            </w:r>
            <w:r>
              <w:rPr>
                <w:b w:val="0"/>
                <w:i/>
                <w:color w:val="595959"/>
                <w:sz w:val="15"/>
              </w:rPr>
              <w:t>Seguimiento por etapas de la investigación (fuentes, fichas, borrador) con lista de cotejo; preguntas de comprensión sobre los mitos leídos.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Los estudiantes realizan fichas de investigación de al menos dos fuentes consultadas, siguiendo un formato previamente establecido; por ejemplo: Tema de investigación: Fuente Autor, página de internet, título y editorial del libro Información más importante ¿De qué se habla? ¿Qué se dice de eso? ¿Qué aporta a mi investigación? El profesor evalúa las fichas para retroalimentar a los estudiantes. Instrumento: Pauta de evaluación. (pág. 181)</w:t>
            </w:r>
          </w:p>
        </w:tc>
        <w:tc>
          <w:tcPr>
            <w:tcW w:type="dxa" w:w="1247"/>
          </w:tcPr>
          <w:p>
            <w:r/>
            <w:r>
              <w:rPr>
                <w:b/>
                <w:i/>
                <w:color w:val="595959"/>
                <w:sz w:val="15"/>
              </w:rPr>
              <w:t xml:space="preserve">Sugerencia — revisar: </w:t>
            </w:r>
            <w:r>
              <w:rPr>
                <w:b w:val="0"/>
                <w:i/>
                <w:color w:val="595959"/>
                <w:sz w:val="15"/>
              </w:rPr>
              <w:t>Relatos mitológicos de distintas culturas, incluidos mitos chilenos de distintas zonas del país; biblioteca CRA; fuentes digitales confiables.</w:t>
            </w:r>
          </w:p>
        </w:tc>
      </w:tr>
      <w:tr>
        <w:tc>
          <w:tcPr>
            <w:tcW w:type="dxa" w:w="1757"/>
          </w:tcPr>
          <w:p>
            <w:r/>
            <w:r>
              <w:rPr>
                <w:b/>
                <w:i w:val="0"/>
                <w:sz w:val="16"/>
              </w:rPr>
              <w:t>Unidad 4</w:t>
            </w:r>
          </w:p>
          <w:p>
            <w:r>
              <w:rPr>
                <w:b/>
                <w:i w:val="0"/>
                <w:sz w:val="16"/>
              </w:rPr>
              <w:t>La identidad: quién soy, cómo me ven los demás</w:t>
            </w:r>
          </w:p>
          <w:p>
            <w:r>
              <w:rPr>
                <w:b w:val="0"/>
                <w:i w:val="0"/>
                <w:sz w:val="15"/>
              </w:rPr>
              <w:t>Se espera que los estudiantes lean, analicen, dialoguen y escriban sobre textos que tocan el tema de la identidad personal.</w:t>
            </w:r>
          </w:p>
          <w:p>
            <w:r>
              <w:rPr>
                <w:b w:val="0"/>
                <w:i w:val="0"/>
                <w:color w:val="595959"/>
                <w:sz w:val="14"/>
              </w:rPr>
              <w:t>Programa, págs. 183–215</w:t>
            </w:r>
          </w:p>
        </w:tc>
        <w:tc>
          <w:tcPr>
            <w:tcW w:type="dxa" w:w="1134"/>
          </w:tcPr>
          <w:p>
            <w:r/>
            <w:r>
              <w:rPr>
                <w:b/>
                <w:i w:val="0"/>
                <w:sz w:val="15"/>
              </w:rPr>
              <w:t>Semestre 1</w:t>
            </w:r>
          </w:p>
          <w:p>
            <w:r>
              <w:rPr>
                <w:b w:val="0"/>
                <w:i w:val="0"/>
                <w:sz w:val="15"/>
              </w:rPr>
              <w:t>30 h pedagógicas</w:t>
            </w:r>
          </w:p>
          <w:p>
            <w:r>
              <w:rPr>
                <w:b w:val="0"/>
                <w:i w:val="0"/>
                <w:color w:val="595959"/>
                <w:sz w:val="15"/>
              </w:rPr>
              <w:t>Semanas 15 a 19</w:t>
            </w:r>
          </w:p>
        </w:tc>
        <w:tc>
          <w:tcPr>
            <w:tcW w:type="dxa" w:w="1134"/>
          </w:tcPr>
          <w:p>
            <w:r/>
            <w:r>
              <w:rPr>
                <w:b/>
                <w:i w:val="0"/>
                <w:sz w:val="15"/>
              </w:rPr>
              <w:t>OA 1, OA 2, OA 3, OA 7, OA 13, OA 15, OA 21, OA 23</w:t>
            </w:r>
          </w:p>
          <w:p>
            <w:r>
              <w:rPr>
                <w:b w:val="0"/>
                <w:i w:val="0"/>
                <w:color w:val="595959"/>
                <w:sz w:val="14"/>
              </w:rPr>
              <w:t>(texto en Anexo G)</w:t>
            </w:r>
          </w:p>
          <w:p>
            <w:r>
              <w:rPr>
                <w:b w:val="0"/>
                <w:i w:val="0"/>
                <w:sz w:val="14"/>
              </w:rPr>
              <w:t>Evaluados en los ejemplos del Programa:</w:t>
            </w:r>
          </w:p>
          <w:p>
            <w:r>
              <w:rPr>
                <w:b/>
                <w:i w:val="0"/>
                <w:sz w:val="15"/>
              </w:rPr>
              <w:t>OA 1</w:t>
            </w:r>
          </w:p>
        </w:tc>
        <w:tc>
          <w:tcPr>
            <w:tcW w:type="dxa" w:w="3413"/>
          </w:tcPr>
          <w:p>
            <w:r/>
            <w:r>
              <w:rPr>
                <w:b/>
                <w:i w:val="0"/>
                <w:sz w:val="15"/>
              </w:rPr>
              <w:t>Lecturas sugeridas (Programa, pág. 184)</w:t>
            </w:r>
          </w:p>
          <w:p>
            <w:pPr>
              <w:pStyle w:val="ListBullet"/>
              <w:spacing w:after="20"/>
              <w:ind w:left="198" w:hanging="170"/>
            </w:pPr>
            <w:r>
              <w:rPr>
                <w:b/>
                <w:i w:val="0"/>
                <w:sz w:val="15"/>
              </w:rPr>
              <w:t xml:space="preserve">Relatos tradicionales de sustitución: </w:t>
            </w:r>
            <w:r>
              <w:rPr>
                <w:b w:val="0"/>
                <w:i w:val="0"/>
                <w:sz w:val="15"/>
              </w:rPr>
              <w:t>“Jacob compra la primogenitura de Esaú”. En Génesis, caps. 25-27.</w:t>
            </w:r>
          </w:p>
          <w:p>
            <w:pPr>
              <w:pStyle w:val="ListBullet"/>
              <w:spacing w:after="20"/>
              <w:ind w:left="198" w:hanging="170"/>
            </w:pPr>
            <w:r>
              <w:rPr>
                <w:b/>
                <w:i w:val="0"/>
                <w:sz w:val="15"/>
              </w:rPr>
              <w:t xml:space="preserve">Versión de Charles Perrault: </w:t>
            </w:r>
            <w:r>
              <w:rPr>
                <w:b w:val="0"/>
                <w:i w:val="0"/>
                <w:sz w:val="15"/>
              </w:rPr>
              <w:t>“Piel de asno”</w:t>
            </w:r>
          </w:p>
          <w:p>
            <w:pPr>
              <w:pStyle w:val="ListBullet"/>
              <w:spacing w:after="20"/>
              <w:ind w:left="198" w:hanging="170"/>
            </w:pPr>
            <w:r>
              <w:rPr>
                <w:b/>
                <w:i w:val="0"/>
                <w:sz w:val="15"/>
              </w:rPr>
              <w:t xml:space="preserve">Recopilado por Yolando Pino: </w:t>
            </w:r>
            <w:r>
              <w:rPr>
                <w:b w:val="0"/>
                <w:i w:val="0"/>
                <w:sz w:val="15"/>
              </w:rPr>
              <w:t>“La monita de Palo”; Novelas gráficas</w:t>
            </w:r>
          </w:p>
          <w:p>
            <w:pPr>
              <w:pStyle w:val="ListBullet"/>
              <w:spacing w:after="20"/>
              <w:ind w:left="198" w:hanging="170"/>
            </w:pPr>
            <w:r>
              <w:rPr>
                <w:b/>
                <w:i w:val="0"/>
                <w:sz w:val="15"/>
              </w:rPr>
              <w:t xml:space="preserve">Stan Lee y Steve Ditko: </w:t>
            </w:r>
            <w:r>
              <w:rPr>
                <w:b w:val="0"/>
                <w:i w:val="0"/>
                <w:sz w:val="15"/>
              </w:rPr>
              <w:t>El hombre araña (Marvel Comics)</w:t>
            </w:r>
          </w:p>
          <w:p>
            <w:pPr>
              <w:pStyle w:val="ListBullet"/>
              <w:spacing w:after="20"/>
              <w:ind w:left="198" w:hanging="170"/>
            </w:pPr>
            <w:r>
              <w:rPr>
                <w:b/>
                <w:i w:val="0"/>
                <w:sz w:val="15"/>
              </w:rPr>
              <w:t xml:space="preserve">Stan Lee y Jack Kirby: </w:t>
            </w:r>
            <w:r>
              <w:rPr>
                <w:b w:val="0"/>
                <w:i w:val="0"/>
                <w:sz w:val="15"/>
              </w:rPr>
              <w:t>Hulk (Marvel Comics)</w:t>
            </w:r>
          </w:p>
          <w:p>
            <w:pPr>
              <w:pStyle w:val="ListBullet"/>
              <w:spacing w:after="20"/>
              <w:ind w:left="198" w:hanging="170"/>
            </w:pPr>
            <w:r>
              <w:rPr>
                <w:b/>
                <w:i w:val="0"/>
                <w:sz w:val="15"/>
              </w:rPr>
              <w:t xml:space="preserve">Jerry Siegel y Joe Shuster: </w:t>
            </w:r>
            <w:r>
              <w:rPr>
                <w:b w:val="0"/>
                <w:i w:val="0"/>
                <w:sz w:val="15"/>
              </w:rPr>
              <w:t>Superman (DC Comics)</w:t>
            </w:r>
          </w:p>
          <w:p>
            <w:pPr>
              <w:pStyle w:val="ListBullet"/>
              <w:spacing w:after="20"/>
              <w:ind w:left="198" w:hanging="170"/>
            </w:pPr>
            <w:r>
              <w:rPr>
                <w:b w:val="0"/>
                <w:i w:val="0"/>
                <w:sz w:val="15"/>
              </w:rPr>
              <w:t>Cuentos, novelas y poesías</w:t>
            </w:r>
          </w:p>
          <w:p>
            <w:pPr>
              <w:pStyle w:val="ListBullet"/>
              <w:spacing w:after="20"/>
              <w:ind w:left="198" w:hanging="170"/>
            </w:pPr>
            <w:r>
              <w:rPr>
                <w:b/>
                <w:i w:val="0"/>
                <w:sz w:val="15"/>
              </w:rPr>
              <w:t xml:space="preserve">Mario Benedetti: </w:t>
            </w:r>
            <w:r>
              <w:rPr>
                <w:b w:val="0"/>
                <w:i w:val="0"/>
                <w:sz w:val="15"/>
              </w:rPr>
              <w:t>“El otro yo”</w:t>
            </w:r>
          </w:p>
          <w:p>
            <w:pPr>
              <w:pStyle w:val="ListBullet"/>
              <w:spacing w:after="20"/>
              <w:ind w:left="198" w:hanging="170"/>
            </w:pPr>
            <w:r>
              <w:rPr>
                <w:b/>
                <w:i w:val="0"/>
                <w:sz w:val="15"/>
              </w:rPr>
              <w:t xml:space="preserve">Judy Blume: </w:t>
            </w:r>
            <w:r>
              <w:rPr>
                <w:b w:val="0"/>
                <w:i w:val="0"/>
                <w:sz w:val="15"/>
              </w:rPr>
              <w:t>¿Estás ahí, Dios? Soy yo, Margaret</w:t>
            </w:r>
          </w:p>
          <w:p>
            <w:pPr>
              <w:pStyle w:val="ListBullet"/>
              <w:spacing w:after="20"/>
              <w:ind w:left="198" w:hanging="170"/>
            </w:pPr>
            <w:r>
              <w:rPr>
                <w:b/>
                <w:i w:val="0"/>
                <w:sz w:val="15"/>
              </w:rPr>
              <w:t xml:space="preserve">Antonio Cisneros: </w:t>
            </w:r>
            <w:r>
              <w:rPr>
                <w:b w:val="0"/>
                <w:i w:val="0"/>
                <w:sz w:val="15"/>
              </w:rPr>
              <w:t>“La araña cuelga demasiado lejos de la tierra”</w:t>
            </w:r>
          </w:p>
          <w:p>
            <w:pPr>
              <w:pStyle w:val="ListBullet"/>
              <w:spacing w:after="20"/>
              <w:ind w:left="198" w:hanging="170"/>
            </w:pPr>
            <w:r>
              <w:rPr>
                <w:b/>
                <w:i w:val="0"/>
                <w:sz w:val="15"/>
              </w:rPr>
              <w:t xml:space="preserve">Eoin Colfer: </w:t>
            </w:r>
            <w:r>
              <w:rPr>
                <w:b w:val="0"/>
                <w:i w:val="0"/>
                <w:sz w:val="15"/>
              </w:rPr>
              <w:t>Artemis Fowl</w:t>
            </w:r>
          </w:p>
          <w:p>
            <w:pPr>
              <w:pStyle w:val="ListBullet"/>
              <w:spacing w:after="20"/>
              <w:ind w:left="198" w:hanging="170"/>
            </w:pPr>
            <w:r>
              <w:rPr>
                <w:b/>
                <w:i w:val="0"/>
                <w:sz w:val="15"/>
              </w:rPr>
              <w:t xml:space="preserve">Miguel de Cervantes: </w:t>
            </w:r>
            <w:r>
              <w:rPr>
                <w:b w:val="0"/>
                <w:i w:val="0"/>
                <w:sz w:val="15"/>
              </w:rPr>
              <w:t>“Capítulos XXX y XXXI: La embajada de Sancho ante Dulcinea” en Don Quijote de la Mancha: primera parte</w:t>
            </w:r>
          </w:p>
          <w:p>
            <w:pPr>
              <w:pStyle w:val="ListBullet"/>
              <w:spacing w:after="20"/>
              <w:ind w:left="198" w:hanging="170"/>
            </w:pPr>
            <w:r>
              <w:rPr>
                <w:b/>
                <w:i w:val="0"/>
                <w:sz w:val="15"/>
              </w:rPr>
              <w:t xml:space="preserve">Jorge Díaz: </w:t>
            </w:r>
            <w:r>
              <w:rPr>
                <w:b w:val="0"/>
                <w:i w:val="0"/>
                <w:sz w:val="15"/>
              </w:rPr>
              <w:t>Instrucciones para cambiar de piel</w:t>
            </w:r>
          </w:p>
          <w:p>
            <w:pPr>
              <w:pStyle w:val="ListBullet"/>
              <w:spacing w:after="20"/>
              <w:ind w:left="198" w:hanging="170"/>
            </w:pPr>
            <w:r>
              <w:rPr>
                <w:b/>
                <w:i w:val="0"/>
                <w:sz w:val="15"/>
              </w:rPr>
              <w:t xml:space="preserve">Homero: </w:t>
            </w:r>
            <w:r>
              <w:rPr>
                <w:b w:val="0"/>
                <w:i w:val="0"/>
                <w:sz w:val="15"/>
              </w:rPr>
              <w:t>“Canto IX: Ulises y Polifemo” (vv. 105 – 565) en La Odisea</w:t>
            </w:r>
          </w:p>
          <w:p>
            <w:pPr>
              <w:pStyle w:val="ListBullet"/>
              <w:spacing w:after="20"/>
              <w:ind w:left="198" w:hanging="170"/>
            </w:pPr>
            <w:r>
              <w:rPr>
                <w:b/>
                <w:i w:val="0"/>
                <w:sz w:val="15"/>
              </w:rPr>
              <w:t xml:space="preserve">José Martí: </w:t>
            </w:r>
            <w:r>
              <w:rPr>
                <w:b w:val="0"/>
                <w:i w:val="0"/>
                <w:sz w:val="15"/>
              </w:rPr>
              <w:t>“Cuando me puse a pensar”</w:t>
            </w:r>
          </w:p>
          <w:p>
            <w:pPr>
              <w:pStyle w:val="ListBullet"/>
              <w:spacing w:after="20"/>
              <w:ind w:left="198" w:hanging="170"/>
            </w:pPr>
            <w:r>
              <w:rPr>
                <w:b/>
                <w:i w:val="0"/>
                <w:sz w:val="15"/>
              </w:rPr>
              <w:t xml:space="preserve">Ana María Matute: </w:t>
            </w:r>
            <w:r>
              <w:rPr>
                <w:b w:val="0"/>
                <w:i w:val="0"/>
                <w:sz w:val="15"/>
              </w:rPr>
              <w:t>“Los chicos”</w:t>
            </w:r>
          </w:p>
          <w:p>
            <w:pPr>
              <w:pStyle w:val="ListBullet"/>
              <w:spacing w:after="20"/>
              <w:ind w:left="198" w:hanging="170"/>
            </w:pPr>
            <w:r>
              <w:rPr>
                <w:b/>
                <w:i w:val="0"/>
                <w:sz w:val="15"/>
              </w:rPr>
              <w:t xml:space="preserve">Octavio Paz: </w:t>
            </w:r>
            <w:r>
              <w:rPr>
                <w:b w:val="0"/>
                <w:i w:val="0"/>
                <w:sz w:val="15"/>
              </w:rPr>
              <w:t>“El otro”</w:t>
            </w:r>
          </w:p>
          <w:p>
            <w:pPr>
              <w:pStyle w:val="ListBullet"/>
              <w:spacing w:after="20"/>
              <w:ind w:left="198" w:hanging="170"/>
            </w:pPr>
            <w:r>
              <w:rPr>
                <w:b/>
                <w:i w:val="0"/>
                <w:sz w:val="15"/>
              </w:rPr>
              <w:t xml:space="preserve">Gianni Rodari: </w:t>
            </w:r>
            <w:r>
              <w:rPr>
                <w:b w:val="0"/>
                <w:i w:val="0"/>
                <w:sz w:val="15"/>
              </w:rPr>
              <w:t>“El perro que no sabía ladrar”</w:t>
            </w:r>
          </w:p>
          <w:p>
            <w:pPr>
              <w:pStyle w:val="ListBullet"/>
              <w:spacing w:after="20"/>
              <w:ind w:left="198" w:hanging="170"/>
            </w:pPr>
            <w:r>
              <w:rPr>
                <w:b/>
                <w:i w:val="0"/>
                <w:sz w:val="15"/>
              </w:rPr>
              <w:t xml:space="preserve">Robert Louis Stevenson: </w:t>
            </w:r>
            <w:r>
              <w:rPr>
                <w:b w:val="0"/>
                <w:i w:val="0"/>
                <w:sz w:val="15"/>
              </w:rPr>
              <w:t>El extraño caso del doctor Jekyll y el señor Hyde</w:t>
            </w:r>
          </w:p>
          <w:p>
            <w:pPr>
              <w:pStyle w:val="ListBullet"/>
              <w:spacing w:after="20"/>
              <w:ind w:left="198" w:hanging="170"/>
            </w:pPr>
            <w:r>
              <w:rPr>
                <w:b/>
                <w:i w:val="0"/>
                <w:sz w:val="15"/>
              </w:rPr>
              <w:t xml:space="preserve">Oscar Wilde: </w:t>
            </w:r>
            <w:r>
              <w:rPr>
                <w:b w:val="0"/>
                <w:i w:val="0"/>
                <w:sz w:val="15"/>
              </w:rPr>
              <w:t>“Famoso cohete”</w:t>
            </w:r>
          </w:p>
        </w:tc>
        <w:tc>
          <w:tcPr>
            <w:tcW w:type="dxa" w:w="4637"/>
          </w:tcPr>
          <w:p>
            <w:r/>
            <w:r>
              <w:rPr>
                <w:b/>
                <w:i w:val="0"/>
                <w:sz w:val="15"/>
              </w:rPr>
              <w:t>Ejemplo 1 (OA 1) · pág. 212</w:t>
            </w:r>
          </w:p>
          <w:p>
            <w:pPr>
              <w:pStyle w:val="ListBullet"/>
              <w:spacing w:after="20"/>
              <w:ind w:left="198" w:hanging="170"/>
            </w:pPr>
            <w:r>
              <w:rPr>
                <w:b w:val="0"/>
                <w:i w:val="0"/>
                <w:sz w:val="15"/>
              </w:rPr>
              <w:t>Leen para entretenerse, para encontrar información, para informarse, etc.</w:t>
            </w:r>
          </w:p>
          <w:p>
            <w:pPr>
              <w:pStyle w:val="ListBullet"/>
              <w:spacing w:after="20"/>
              <w:ind w:left="198" w:hanging="170"/>
            </w:pPr>
            <w:r>
              <w:rPr>
                <w:b w:val="0"/>
                <w:i w:val="0"/>
                <w:sz w:val="15"/>
              </w:rPr>
              <w:t>Leen periódicos, revistas y artículos en internet en su tiempo libre.</w:t>
            </w:r>
          </w:p>
          <w:p>
            <w:pPr>
              <w:pStyle w:val="ListBullet"/>
              <w:spacing w:after="20"/>
              <w:ind w:left="198" w:hanging="170"/>
            </w:pPr>
            <w:r>
              <w:rPr>
                <w:b w:val="0"/>
                <w:i w:val="0"/>
                <w:sz w:val="15"/>
              </w:rPr>
              <w:t>Comentan los textos que han leído.</w:t>
            </w:r>
          </w:p>
          <w:p>
            <w:pPr>
              <w:pStyle w:val="ListBullet"/>
              <w:spacing w:after="20"/>
              <w:ind w:left="198" w:hanging="170"/>
            </w:pPr>
            <w:r>
              <w:rPr>
                <w:b w:val="0"/>
                <w:i w:val="0"/>
                <w:sz w:val="15"/>
              </w:rPr>
              <w:t>Recomiendan los textos que les han gustado.</w:t>
            </w:r>
          </w:p>
          <w:p>
            <w:pPr>
              <w:pStyle w:val="ListBullet"/>
              <w:spacing w:after="20"/>
              <w:ind w:left="198" w:hanging="170"/>
            </w:pPr>
            <w:r>
              <w:rPr>
                <w:b w:val="0"/>
                <w:i w:val="0"/>
                <w:sz w:val="15"/>
              </w:rPr>
              <w:t>Solicitan recomendaciones de libros a sus pares, al docente u otros.</w:t>
            </w:r>
          </w:p>
          <w:p>
            <w:pPr>
              <w:pStyle w:val="ListBullet"/>
              <w:spacing w:after="20"/>
              <w:ind w:left="198" w:hanging="170"/>
            </w:pPr>
            <w:r>
              <w:rPr>
                <w:b w:val="0"/>
                <w:i w:val="0"/>
                <w:sz w:val="15"/>
              </w:rPr>
              <w:t>Muestran preferencias por algún subgénero literario, como la ciencia ficción, misterio, etc. y pueden describir lo que les gusta de ellos.</w:t>
            </w:r>
          </w:p>
          <w:p>
            <w:r>
              <w:rPr>
                <w:b/>
                <w:i w:val="0"/>
                <w:sz w:val="15"/>
              </w:rPr>
              <w:t>Ejemplo 2 (OA 1) · pág. 212</w:t>
            </w:r>
          </w:p>
          <w:p>
            <w:pPr>
              <w:pStyle w:val="ListBullet"/>
              <w:spacing w:after="20"/>
              <w:ind w:left="198" w:hanging="170"/>
            </w:pPr>
            <w:r>
              <w:rPr>
                <w:b w:val="0"/>
                <w:i w:val="0"/>
                <w:sz w:val="15"/>
              </w:rPr>
              <w:t>Leen para entretenerse, para encontrar información, para informarse, etc.</w:t>
            </w:r>
          </w:p>
          <w:p>
            <w:pPr>
              <w:pStyle w:val="ListBullet"/>
              <w:spacing w:after="20"/>
              <w:ind w:left="198" w:hanging="170"/>
            </w:pPr>
            <w:r>
              <w:rPr>
                <w:b w:val="0"/>
                <w:i w:val="0"/>
                <w:sz w:val="15"/>
              </w:rPr>
              <w:t>Leen periódicos, revistas y artículos en internet en su tiempo libre.</w:t>
            </w:r>
          </w:p>
          <w:p>
            <w:pPr>
              <w:pStyle w:val="ListBullet"/>
              <w:spacing w:after="20"/>
              <w:ind w:left="198" w:hanging="170"/>
            </w:pPr>
            <w:r>
              <w:rPr>
                <w:b w:val="0"/>
                <w:i w:val="0"/>
                <w:sz w:val="15"/>
              </w:rPr>
              <w:t>Comentan los textos que han leído.</w:t>
            </w:r>
          </w:p>
          <w:p>
            <w:pPr>
              <w:pStyle w:val="ListBullet"/>
              <w:spacing w:after="20"/>
              <w:ind w:left="198" w:hanging="170"/>
            </w:pPr>
            <w:r>
              <w:rPr>
                <w:b w:val="0"/>
                <w:i w:val="0"/>
                <w:sz w:val="15"/>
              </w:rPr>
              <w:t>Recomiendan los textos que les han gustado.</w:t>
            </w:r>
          </w:p>
          <w:p>
            <w:pPr>
              <w:pStyle w:val="ListBullet"/>
              <w:spacing w:after="20"/>
              <w:ind w:left="198" w:hanging="170"/>
            </w:pPr>
            <w:r>
              <w:rPr>
                <w:b w:val="0"/>
                <w:i w:val="0"/>
                <w:sz w:val="15"/>
              </w:rPr>
              <w:t>Solicitan recomendaciones de libros a sus pares, al docente u otros.</w:t>
            </w:r>
          </w:p>
          <w:p>
            <w:pPr>
              <w:pStyle w:val="ListBullet"/>
              <w:spacing w:after="20"/>
              <w:ind w:left="198" w:hanging="170"/>
            </w:pPr>
            <w:r>
              <w:rPr>
                <w:b w:val="0"/>
                <w:i w:val="0"/>
                <w:sz w:val="15"/>
              </w:rPr>
              <w:t>Muestran preferencias por algún subgénero literario, como la ciencia ficción, misterio, etc. y pueden describir lo que les gusta de ellos.</w:t>
            </w:r>
          </w:p>
        </w:tc>
        <w:tc>
          <w:tcPr>
            <w:tcW w:type="dxa" w:w="1474"/>
          </w:tcPr>
          <w:p>
            <w:r/>
            <w:r>
              <w:rPr>
                <w:b/>
                <w:i w:val="0"/>
                <w:sz w:val="15"/>
              </w:rPr>
              <w:t xml:space="preserve">OA B: </w:t>
            </w:r>
            <w:r>
              <w:rPr>
                <w:b w:val="0"/>
                <w:i w:val="0"/>
                <w:sz w:val="15"/>
              </w:rPr>
              <w:t>Manifestar disposición a reflexionar sobre sí mismo y sobre las cuestiones sociales y éticas que emanan de las lecturas.</w:t>
            </w:r>
          </w:p>
          <w:p>
            <w:r>
              <w:rPr>
                <w:b/>
                <w:i w:val="0"/>
                <w:sz w:val="15"/>
              </w:rPr>
              <w:t xml:space="preserve">OA D: </w:t>
            </w:r>
            <w:r>
              <w:rPr>
                <w:b w:val="0"/>
                <w:i w:val="0"/>
                <w:sz w:val="15"/>
              </w:rPr>
              <w:t>Valorar la diversidad de perspectivas, creencias y culturas, presentes en su entorno y el mundo, como manifestación de la libertad, creatividad y dignidad humana.</w:t>
            </w:r>
          </w:p>
          <w:p>
            <w:r>
              <w:rPr>
                <w:b/>
                <w:i w:val="0"/>
                <w:sz w:val="15"/>
              </w:rPr>
              <w:t xml:space="preserve">OA E: </w:t>
            </w:r>
            <w:r>
              <w:rPr>
                <w:b w:val="0"/>
                <w:i w:val="0"/>
                <w:sz w:val="15"/>
              </w:rPr>
              <w:t>Valorar las posibilidades que da el discurso hablado y escrito para participar de manera proactiva, informada y responsable en la vida de la sociedad democrática.</w:t>
            </w:r>
          </w:p>
        </w:tc>
        <w:tc>
          <w:tcPr>
            <w:tcW w:type="dxa" w:w="1871"/>
          </w:tcPr>
          <w:p>
            <w:r/>
            <w:r>
              <w:rPr>
                <w:b/>
                <w:i w:val="0"/>
                <w:sz w:val="15"/>
              </w:rPr>
              <w:t>Diagnóstica (Programa):</w:t>
            </w:r>
          </w:p>
          <w:p>
            <w:pPr>
              <w:pStyle w:val="ListBullet"/>
              <w:spacing w:after="20"/>
              <w:ind w:left="198" w:hanging="170"/>
            </w:pPr>
            <w:r>
              <w:rPr>
                <w:b/>
                <w:i w:val="0"/>
                <w:sz w:val="15"/>
              </w:rPr>
              <w:t xml:space="preserve">Ejemplo 1: </w:t>
            </w:r>
            <w:r>
              <w:rPr>
                <w:b w:val="0"/>
                <w:i w:val="0"/>
                <w:sz w:val="15"/>
              </w:rPr>
              <w:t>La finalidad de esta actividad de evaluación es monitorear la motivación lectora de los estudiantes y si están eligiendo textos que realmente los motiven. (pág. 212)</w:t>
            </w:r>
          </w:p>
          <w:p>
            <w:pPr>
              <w:pStyle w:val="ListBullet"/>
              <w:spacing w:after="20"/>
              <w:ind w:left="198" w:hanging="170"/>
            </w:pPr>
            <w:r>
              <w:rPr>
                <w:b/>
                <w:i w:val="0"/>
                <w:sz w:val="15"/>
              </w:rPr>
              <w:t xml:space="preserve">Ejemplo 2: </w:t>
            </w:r>
            <w:r>
              <w:rPr>
                <w:b w:val="0"/>
                <w:i w:val="0"/>
                <w:sz w:val="15"/>
              </w:rPr>
              <w:t>El docente selecciona al menos tres novelas que puedan ser del interés de los estudiantes y les presenta cada una a los estudiantes. (pág. 212)</w:t>
            </w:r>
          </w:p>
          <w:p>
            <w:r>
              <w:rPr>
                <w:b/>
                <w:i w:val="0"/>
                <w:sz w:val="15"/>
              </w:rPr>
              <w:t xml:space="preserve">Formativa. </w:t>
            </w:r>
            <w:r>
              <w:rPr>
                <w:b/>
                <w:i/>
                <w:color w:val="595959"/>
                <w:sz w:val="15"/>
              </w:rPr>
              <w:t xml:space="preserve">Sugerencia — revisar: </w:t>
            </w:r>
            <w:r>
              <w:rPr>
                <w:b w:val="0"/>
                <w:i/>
                <w:color w:val="595959"/>
                <w:sz w:val="15"/>
              </w:rPr>
              <w:t>Bitácora de lectura revisada periódicamente; retroalimentación oral en conversaciones sobre identidad.</w:t>
            </w:r>
          </w:p>
          <w:p>
            <w:r>
              <w:rPr>
                <w:b/>
                <w:i w:val="0"/>
                <w:sz w:val="15"/>
              </w:rPr>
              <w:t xml:space="preserve">Sumativa. </w:t>
            </w:r>
            <w:r>
              <w:rPr>
                <w:b/>
                <w:i/>
                <w:color w:val="595959"/>
                <w:sz w:val="15"/>
              </w:rPr>
              <w:t xml:space="preserve">Sugerencia — revisar: </w:t>
            </w:r>
            <w:r>
              <w:rPr>
                <w:b w:val="0"/>
                <w:i/>
                <w:color w:val="595959"/>
                <w:sz w:val="15"/>
              </w:rPr>
              <w:t>definir un producto de cierre de la unidad alineado con los indicadores.</w:t>
            </w:r>
          </w:p>
        </w:tc>
        <w:tc>
          <w:tcPr>
            <w:tcW w:type="dxa" w:w="1247"/>
          </w:tcPr>
          <w:p>
            <w:r/>
            <w:r>
              <w:rPr>
                <w:b/>
                <w:i/>
                <w:color w:val="595959"/>
                <w:sz w:val="15"/>
              </w:rPr>
              <w:t xml:space="preserve">Sugerencia — revisar: </w:t>
            </w:r>
            <w:r>
              <w:rPr>
                <w:b w:val="0"/>
                <w:i/>
                <w:color w:val="595959"/>
                <w:sz w:val="15"/>
              </w:rPr>
              <w:t>Novelas y textos autobiográficos de la unidad; bitácora de lectura; organizadores gráficos.</w:t>
            </w:r>
          </w:p>
        </w:tc>
      </w:tr>
      <w:tr>
        <w:tc>
          <w:tcPr>
            <w:tcW w:type="dxa" w:w="1757"/>
          </w:tcPr>
          <w:p>
            <w:r/>
            <w:r>
              <w:rPr>
                <w:b/>
                <w:i w:val="0"/>
                <w:sz w:val="16"/>
              </w:rPr>
              <w:t>Unidad 5</w:t>
            </w:r>
          </w:p>
          <w:p>
            <w:r>
              <w:rPr>
                <w:b/>
                <w:i w:val="0"/>
                <w:sz w:val="16"/>
              </w:rPr>
              <w:t>El romancero y la poesía popular</w:t>
            </w:r>
          </w:p>
          <w:p>
            <w:r>
              <w:rPr>
                <w:b w:val="0"/>
                <w:i w:val="0"/>
                <w:sz w:val="15"/>
              </w:rPr>
              <w:t>Esta unidad se enfoca en la lectura de poemas, específicamente romances y poesía popular.</w:t>
            </w:r>
          </w:p>
          <w:p>
            <w:r>
              <w:rPr>
                <w:b w:val="0"/>
                <w:i w:val="0"/>
                <w:color w:val="595959"/>
                <w:sz w:val="14"/>
              </w:rPr>
              <w:t>Programa, págs. 216–243</w:t>
            </w:r>
          </w:p>
        </w:tc>
        <w:tc>
          <w:tcPr>
            <w:tcW w:type="dxa" w:w="1134"/>
          </w:tcPr>
          <w:p>
            <w:r/>
            <w:r>
              <w:rPr>
                <w:b/>
                <w:i w:val="0"/>
                <w:sz w:val="15"/>
              </w:rPr>
              <w:t>Semestre 2</w:t>
            </w:r>
          </w:p>
          <w:p>
            <w:r>
              <w:rPr>
                <w:b w:val="0"/>
                <w:i w:val="0"/>
                <w:sz w:val="15"/>
              </w:rPr>
              <w:t>31 h pedagógicas</w:t>
            </w:r>
          </w:p>
          <w:p>
            <w:r>
              <w:rPr>
                <w:b w:val="0"/>
                <w:i w:val="0"/>
                <w:color w:val="595959"/>
                <w:sz w:val="15"/>
              </w:rPr>
              <w:t>Semanas 20 a 25</w:t>
            </w:r>
          </w:p>
        </w:tc>
        <w:tc>
          <w:tcPr>
            <w:tcW w:type="dxa" w:w="1134"/>
          </w:tcPr>
          <w:p>
            <w:r/>
            <w:r>
              <w:rPr>
                <w:b/>
                <w:i w:val="0"/>
                <w:sz w:val="15"/>
              </w:rPr>
              <w:t>OA 1, OA 2, OA 4, OA 5, OA 7, OA 10, OA 14, OA 15, OA 21</w:t>
            </w:r>
          </w:p>
          <w:p>
            <w:r>
              <w:rPr>
                <w:b w:val="0"/>
                <w:i w:val="0"/>
                <w:color w:val="595959"/>
                <w:sz w:val="14"/>
              </w:rPr>
              <w:t>(texto en Anexo G)</w:t>
            </w:r>
          </w:p>
          <w:p>
            <w:r>
              <w:rPr>
                <w:b w:val="0"/>
                <w:i w:val="0"/>
                <w:sz w:val="14"/>
              </w:rPr>
              <w:t>Evaluados en los ejemplos del Programa:</w:t>
            </w:r>
          </w:p>
          <w:p>
            <w:r>
              <w:rPr>
                <w:b/>
                <w:i w:val="0"/>
                <w:sz w:val="15"/>
              </w:rPr>
              <w:t>OA 4, OA 5</w:t>
            </w:r>
          </w:p>
        </w:tc>
        <w:tc>
          <w:tcPr>
            <w:tcW w:type="dxa" w:w="3413"/>
          </w:tcPr>
          <w:p>
            <w:r/>
            <w:r>
              <w:rPr>
                <w:b/>
                <w:i w:val="0"/>
                <w:sz w:val="15"/>
              </w:rPr>
              <w:t>Lecturas sugeridas (Programa, pág. 217)</w:t>
            </w:r>
          </w:p>
          <w:p>
            <w:pPr>
              <w:pStyle w:val="ListBullet"/>
              <w:spacing w:after="20"/>
              <w:ind w:left="198" w:hanging="170"/>
            </w:pPr>
            <w:r>
              <w:rPr>
                <w:b/>
                <w:i w:val="0"/>
                <w:sz w:val="15"/>
              </w:rPr>
              <w:t xml:space="preserve">Anónimo: </w:t>
            </w:r>
            <w:r>
              <w:rPr>
                <w:b w:val="0"/>
                <w:i w:val="0"/>
                <w:sz w:val="15"/>
              </w:rPr>
              <w:t>“Romance del prisionero” en Romancero Viejo</w:t>
            </w:r>
          </w:p>
          <w:p>
            <w:pPr>
              <w:pStyle w:val="ListBullet"/>
              <w:spacing w:after="20"/>
              <w:ind w:left="198" w:hanging="170"/>
            </w:pPr>
            <w:r>
              <w:rPr>
                <w:b/>
                <w:i w:val="0"/>
                <w:sz w:val="15"/>
              </w:rPr>
              <w:t xml:space="preserve">Anónimo: </w:t>
            </w:r>
            <w:r>
              <w:rPr>
                <w:b w:val="0"/>
                <w:i w:val="0"/>
                <w:sz w:val="15"/>
              </w:rPr>
              <w:t>“Romance del rey don Rodrigo” en Romancero Viejo</w:t>
            </w:r>
          </w:p>
          <w:p>
            <w:pPr>
              <w:pStyle w:val="ListBullet"/>
              <w:spacing w:after="20"/>
              <w:ind w:left="198" w:hanging="170"/>
            </w:pPr>
            <w:r>
              <w:rPr>
                <w:b/>
                <w:i w:val="0"/>
                <w:sz w:val="15"/>
              </w:rPr>
              <w:t xml:space="preserve">Anónimo: </w:t>
            </w:r>
            <w:r>
              <w:rPr>
                <w:b w:val="0"/>
                <w:i w:val="0"/>
                <w:sz w:val="15"/>
              </w:rPr>
              <w:t>“El enamorado y la muerte” en Romancero Viejo</w:t>
            </w:r>
          </w:p>
          <w:p>
            <w:pPr>
              <w:pStyle w:val="ListBullet"/>
              <w:spacing w:after="20"/>
              <w:ind w:left="198" w:hanging="170"/>
            </w:pPr>
            <w:r>
              <w:rPr>
                <w:b/>
                <w:i w:val="0"/>
                <w:sz w:val="15"/>
              </w:rPr>
              <w:t xml:space="preserve">Anónimo: </w:t>
            </w:r>
            <w:r>
              <w:rPr>
                <w:b w:val="0"/>
                <w:i w:val="0"/>
                <w:sz w:val="15"/>
              </w:rPr>
              <w:t>“La muerte ocultada” en Romancero Viejo</w:t>
            </w:r>
          </w:p>
          <w:p>
            <w:pPr>
              <w:pStyle w:val="ListBullet"/>
              <w:spacing w:after="20"/>
              <w:ind w:left="198" w:hanging="170"/>
            </w:pPr>
            <w:r>
              <w:rPr>
                <w:b/>
                <w:i w:val="0"/>
                <w:sz w:val="15"/>
              </w:rPr>
              <w:t xml:space="preserve">Anónimo: </w:t>
            </w:r>
            <w:r>
              <w:rPr>
                <w:b w:val="0"/>
                <w:i w:val="0"/>
                <w:sz w:val="15"/>
              </w:rPr>
              <w:t>“Romance de las tres cautivas” en Romancero Viejo</w:t>
            </w:r>
          </w:p>
          <w:p>
            <w:pPr>
              <w:pStyle w:val="ListBullet"/>
              <w:spacing w:after="20"/>
              <w:ind w:left="198" w:hanging="170"/>
            </w:pPr>
            <w:r>
              <w:rPr>
                <w:b/>
                <w:i w:val="0"/>
                <w:sz w:val="15"/>
              </w:rPr>
              <w:t xml:space="preserve">Anónimo: </w:t>
            </w:r>
            <w:r>
              <w:rPr>
                <w:b w:val="0"/>
                <w:i w:val="0"/>
                <w:sz w:val="15"/>
              </w:rPr>
              <w:t>“Romance de Gerineldo y la Infanta” en Romancero Viejo</w:t>
            </w:r>
          </w:p>
          <w:p>
            <w:pPr>
              <w:pStyle w:val="ListBullet"/>
              <w:spacing w:after="20"/>
              <w:ind w:left="198" w:hanging="170"/>
            </w:pPr>
            <w:r>
              <w:rPr>
                <w:b/>
                <w:i w:val="0"/>
                <w:sz w:val="15"/>
              </w:rPr>
              <w:t xml:space="preserve">Anónimo: </w:t>
            </w:r>
            <w:r>
              <w:rPr>
                <w:b w:val="0"/>
                <w:i w:val="0"/>
                <w:sz w:val="15"/>
              </w:rPr>
              <w:t>“Romance del conde niño”</w:t>
            </w:r>
          </w:p>
          <w:p>
            <w:pPr>
              <w:pStyle w:val="ListBullet"/>
              <w:spacing w:after="20"/>
              <w:ind w:left="198" w:hanging="170"/>
            </w:pPr>
            <w:r>
              <w:rPr>
                <w:b/>
                <w:i w:val="0"/>
                <w:sz w:val="15"/>
              </w:rPr>
              <w:t xml:space="preserve">Luis Cané: </w:t>
            </w:r>
            <w:r>
              <w:rPr>
                <w:b w:val="0"/>
                <w:i w:val="0"/>
                <w:sz w:val="15"/>
              </w:rPr>
              <w:t>“Romance de la niña negra”</w:t>
            </w:r>
          </w:p>
          <w:p>
            <w:pPr>
              <w:pStyle w:val="ListBullet"/>
              <w:spacing w:after="20"/>
              <w:ind w:left="198" w:hanging="170"/>
            </w:pPr>
            <w:r>
              <w:rPr>
                <w:b/>
                <w:i w:val="0"/>
                <w:sz w:val="15"/>
              </w:rPr>
              <w:t xml:space="preserve">Federico García Lorca: </w:t>
            </w:r>
            <w:r>
              <w:rPr>
                <w:b w:val="0"/>
                <w:i w:val="0"/>
                <w:sz w:val="15"/>
              </w:rPr>
              <w:t>“Romance de la luna, luna” en Romancero Gitano</w:t>
            </w:r>
          </w:p>
          <w:p>
            <w:pPr>
              <w:pStyle w:val="ListBullet"/>
              <w:spacing w:after="20"/>
              <w:ind w:left="198" w:hanging="170"/>
            </w:pPr>
            <w:r>
              <w:rPr>
                <w:b w:val="0"/>
                <w:i w:val="0"/>
                <w:sz w:val="15"/>
              </w:rPr>
              <w:t>Décimas y Lira Popular</w:t>
            </w:r>
          </w:p>
          <w:p>
            <w:pPr>
              <w:pStyle w:val="ListBullet"/>
              <w:spacing w:after="20"/>
              <w:ind w:left="198" w:hanging="170"/>
            </w:pPr>
            <w:r>
              <w:rPr>
                <w:b/>
                <w:i w:val="0"/>
                <w:sz w:val="15"/>
              </w:rPr>
              <w:t xml:space="preserve">Amoroso Allende: </w:t>
            </w:r>
            <w:r>
              <w:rPr>
                <w:b w:val="0"/>
                <w:i w:val="0"/>
                <w:sz w:val="15"/>
              </w:rPr>
              <w:t>“La tierra de Jauja”</w:t>
            </w:r>
          </w:p>
          <w:p>
            <w:pPr>
              <w:pStyle w:val="ListBullet"/>
              <w:spacing w:after="20"/>
              <w:ind w:left="198" w:hanging="170"/>
            </w:pPr>
            <w:r>
              <w:rPr>
                <w:b/>
                <w:i w:val="0"/>
                <w:sz w:val="15"/>
              </w:rPr>
              <w:t xml:space="preserve">Rosa Araneda: </w:t>
            </w:r>
            <w:r>
              <w:rPr>
                <w:b w:val="0"/>
                <w:i w:val="0"/>
                <w:sz w:val="15"/>
              </w:rPr>
              <w:t>“Dos plagas, más el volcán Calbuco y el cambio tan bajo”</w:t>
            </w:r>
          </w:p>
          <w:p>
            <w:pPr>
              <w:pStyle w:val="ListBullet"/>
              <w:spacing w:after="20"/>
              <w:ind w:left="198" w:hanging="170"/>
            </w:pPr>
            <w:r>
              <w:rPr>
                <w:b/>
                <w:i w:val="0"/>
                <w:sz w:val="15"/>
              </w:rPr>
              <w:t xml:space="preserve">Manuel Gallardo: </w:t>
            </w:r>
            <w:r>
              <w:rPr>
                <w:b w:val="0"/>
                <w:i w:val="0"/>
                <w:sz w:val="15"/>
              </w:rPr>
              <w:t>“Mundo al revés”</w:t>
            </w:r>
          </w:p>
          <w:p>
            <w:pPr>
              <w:pStyle w:val="ListBullet"/>
              <w:spacing w:after="20"/>
              <w:ind w:left="198" w:hanging="170"/>
            </w:pPr>
            <w:r>
              <w:rPr>
                <w:b/>
                <w:i w:val="0"/>
                <w:sz w:val="15"/>
              </w:rPr>
              <w:t xml:space="preserve">Patricio Miranda Venegas: </w:t>
            </w:r>
            <w:r>
              <w:rPr>
                <w:b w:val="0"/>
                <w:i w:val="0"/>
                <w:sz w:val="15"/>
              </w:rPr>
              <w:t>“Cuando yo sea Presidente”</w:t>
            </w:r>
          </w:p>
          <w:p>
            <w:pPr>
              <w:pStyle w:val="ListBullet"/>
              <w:spacing w:after="20"/>
              <w:ind w:left="198" w:hanging="170"/>
            </w:pPr>
            <w:r>
              <w:rPr>
                <w:b/>
                <w:i w:val="0"/>
                <w:sz w:val="15"/>
              </w:rPr>
              <w:t xml:space="preserve">Violeta Parra: </w:t>
            </w:r>
            <w:r>
              <w:rPr>
                <w:b w:val="0"/>
                <w:i w:val="0"/>
                <w:sz w:val="15"/>
              </w:rPr>
              <w:t>“Puerto Montt está temblando”; “La exiliada del Sur”; “Engaños en Concepción”; “Con mi litigio de amor”; “Pa cantar de un improviso”; “Arauco tiene una pena”</w:t>
            </w:r>
          </w:p>
          <w:p>
            <w:pPr>
              <w:pStyle w:val="ListBullet"/>
              <w:spacing w:after="20"/>
              <w:ind w:left="198" w:hanging="170"/>
            </w:pPr>
            <w:r>
              <w:rPr>
                <w:b/>
                <w:i w:val="0"/>
                <w:sz w:val="15"/>
              </w:rPr>
              <w:t xml:space="preserve">Pedro Yáñez: </w:t>
            </w:r>
            <w:r>
              <w:rPr>
                <w:b w:val="0"/>
                <w:i w:val="0"/>
                <w:sz w:val="15"/>
              </w:rPr>
              <w:t>“Pedro Urdemales”</w:t>
            </w:r>
          </w:p>
        </w:tc>
        <w:tc>
          <w:tcPr>
            <w:tcW w:type="dxa" w:w="4637"/>
          </w:tcPr>
          <w:p>
            <w:r/>
            <w:r>
              <w:rPr>
                <w:b/>
                <w:i w:val="0"/>
                <w:sz w:val="15"/>
              </w:rPr>
              <w:t>Ejemplo 1 (OA 5) · pág. 242</w:t>
            </w:r>
          </w:p>
          <w:p>
            <w:pPr>
              <w:pStyle w:val="ListBullet"/>
              <w:spacing w:after="20"/>
              <w:ind w:left="198" w:hanging="170"/>
            </w:pPr>
            <w:r>
              <w:rPr>
                <w:b w:val="0"/>
                <w:i w:val="0"/>
                <w:sz w:val="15"/>
              </w:rPr>
              <w:t>Hacen un recuento de un romance leído, explicando cuáles son los temas que aborda.</w:t>
            </w:r>
          </w:p>
          <w:p>
            <w:pPr>
              <w:pStyle w:val="ListBullet"/>
              <w:spacing w:after="20"/>
              <w:ind w:left="198" w:hanging="170"/>
            </w:pPr>
            <w:r>
              <w:rPr>
                <w:b w:val="0"/>
                <w:i w:val="0"/>
                <w:sz w:val="15"/>
              </w:rPr>
              <w:t>Explican las características de los romances usando ejemplos de los textos leídos en clases.</w:t>
            </w:r>
          </w:p>
          <w:p>
            <w:pPr>
              <w:pStyle w:val="ListBullet"/>
              <w:spacing w:after="20"/>
              <w:ind w:left="198" w:hanging="170"/>
            </w:pPr>
            <w:r>
              <w:rPr>
                <w:b w:val="0"/>
                <w:i w:val="0"/>
                <w:sz w:val="15"/>
              </w:rPr>
              <w:t>Explican las características de las décimas usando ejemplos de los textos leídos en clases.</w:t>
            </w:r>
          </w:p>
          <w:p>
            <w:pPr>
              <w:pStyle w:val="ListBullet"/>
              <w:spacing w:after="20"/>
              <w:ind w:left="198" w:hanging="170"/>
            </w:pPr>
            <w:r>
              <w:rPr>
                <w:b w:val="0"/>
                <w:i w:val="0"/>
                <w:sz w:val="15"/>
              </w:rPr>
              <w:t>Describen, en términos generales, el contexto en el que surgieron los romances leídos y lo relacionan con lo dicho en el poema.</w:t>
            </w:r>
          </w:p>
          <w:p>
            <w:pPr>
              <w:pStyle w:val="ListBullet"/>
              <w:spacing w:after="20"/>
              <w:ind w:left="198" w:hanging="170"/>
            </w:pPr>
            <w:r>
              <w:rPr>
                <w:b w:val="0"/>
                <w:i w:val="0"/>
                <w:sz w:val="15"/>
              </w:rPr>
              <w:t>Describen, en términos generales, el contexto en el cual se crearon las décimas leídas y lo relacionan con lo dicho en el poema.</w:t>
            </w:r>
          </w:p>
          <w:p>
            <w:r>
              <w:rPr>
                <w:b/>
                <w:i w:val="0"/>
                <w:sz w:val="15"/>
              </w:rPr>
              <w:t>Ejemplo 2 (OA 4) · pág. 243</w:t>
            </w:r>
          </w:p>
          <w:p>
            <w:pPr>
              <w:pStyle w:val="ListBullet"/>
              <w:spacing w:after="20"/>
              <w:ind w:left="198" w:hanging="170"/>
            </w:pPr>
            <w:r>
              <w:rPr>
                <w:b w:val="0"/>
                <w:i w:val="0"/>
                <w:sz w:val="15"/>
              </w:rPr>
              <w:t>Explican en sus palabras el poema leído.</w:t>
            </w:r>
          </w:p>
          <w:p>
            <w:pPr>
              <w:pStyle w:val="ListBullet"/>
              <w:spacing w:after="20"/>
              <w:ind w:left="198" w:hanging="170"/>
            </w:pPr>
            <w:r>
              <w:rPr>
                <w:b w:val="0"/>
                <w:i w:val="0"/>
                <w:sz w:val="15"/>
              </w:rPr>
              <w:t>Explican, oralmente o por escrito, qué reacción les produce el poema.</w:t>
            </w:r>
          </w:p>
          <w:p>
            <w:pPr>
              <w:pStyle w:val="ListBullet"/>
              <w:spacing w:after="20"/>
              <w:ind w:left="198" w:hanging="170"/>
            </w:pPr>
            <w:r>
              <w:rPr>
                <w:b w:val="0"/>
                <w:i w:val="0"/>
                <w:sz w:val="15"/>
              </w:rPr>
              <w:t>Explican a qué alude, en términos denotativos y connotativos, un determinado verso.</w:t>
            </w:r>
          </w:p>
          <w:p>
            <w:pPr>
              <w:pStyle w:val="ListBullet"/>
              <w:spacing w:after="20"/>
              <w:ind w:left="198" w:hanging="170"/>
            </w:pPr>
            <w:r>
              <w:rPr>
                <w:b w:val="0"/>
                <w:i w:val="0"/>
                <w:sz w:val="15"/>
              </w:rPr>
              <w:t>Describen el efecto que les produce algún verso en el cual se incorpora el uso de lenguaje figurado.</w:t>
            </w:r>
          </w:p>
          <w:p>
            <w:pPr>
              <w:pStyle w:val="ListBullet"/>
              <w:spacing w:after="20"/>
              <w:ind w:left="198" w:hanging="170"/>
            </w:pPr>
            <w:r>
              <w:rPr>
                <w:b w:val="0"/>
                <w:i w:val="0"/>
                <w:sz w:val="15"/>
              </w:rPr>
              <w:t>Señalan qué elementos sonoros contribuyen al sentido del poema o a crear un ambiente determinado.</w:t>
            </w:r>
          </w:p>
          <w:p>
            <w:pPr>
              <w:pStyle w:val="ListBullet"/>
              <w:spacing w:after="20"/>
              <w:ind w:left="198" w:hanging="170"/>
            </w:pPr>
            <w:r>
              <w:rPr>
                <w:b w:val="0"/>
                <w:i w:val="0"/>
                <w:sz w:val="15"/>
              </w:rPr>
              <w:t>Describen elementos que tiene en común el poema leído con otra lectura abordada durante el año.</w:t>
            </w:r>
          </w:p>
          <w:p>
            <w:pPr>
              <w:pStyle w:val="ListBullet"/>
              <w:spacing w:after="20"/>
              <w:ind w:left="198" w:hanging="170"/>
            </w:pPr>
            <w:r>
              <w:rPr>
                <w:b w:val="0"/>
                <w:i w:val="0"/>
                <w:sz w:val="15"/>
              </w:rPr>
              <w:t>Describen temas en común presentes en dos textos.</w:t>
            </w:r>
          </w:p>
        </w:tc>
        <w:tc>
          <w:tcPr>
            <w:tcW w:type="dxa" w:w="1474"/>
          </w:tcPr>
          <w:p>
            <w:r/>
            <w:r>
              <w:rPr>
                <w:b/>
                <w:i w:val="0"/>
                <w:sz w:val="15"/>
              </w:rPr>
              <w:t xml:space="preserve">OA A: </w:t>
            </w:r>
            <w:r>
              <w:rPr>
                <w:b w:val="0"/>
                <w:i w:val="0"/>
                <w:sz w:val="15"/>
              </w:rPr>
              <w:t>Manifestar disposición a formarse un pensamiento propio, reflexivo e informado, mediante una lectura crítica y el diálogo con otros.</w:t>
            </w:r>
          </w:p>
          <w:p>
            <w:r>
              <w:rPr>
                <w:b/>
                <w:i w:val="0"/>
                <w:sz w:val="15"/>
              </w:rPr>
              <w:t xml:space="preserve">OA B: </w:t>
            </w:r>
            <w:r>
              <w:rPr>
                <w:b w:val="0"/>
                <w:i w:val="0"/>
                <w:sz w:val="15"/>
              </w:rPr>
              <w:t>Manifestar disposición a reflexionar sobre sí mismo y sobre las cuestiones sociales y éticas que emanan de las lecturas.</w:t>
            </w:r>
          </w:p>
          <w:p>
            <w:r>
              <w:rPr>
                <w:b/>
                <w:i w:val="0"/>
                <w:sz w:val="15"/>
              </w:rPr>
              <w:t xml:space="preserve">OA C: </w:t>
            </w:r>
            <w:r>
              <w:rPr>
                <w:b w:val="0"/>
                <w:i w:val="0"/>
                <w:sz w:val="15"/>
              </w:rPr>
              <w:t>Interesarse por comprender las experiencias e ideas de los demás, utilizando la lectura y el diálogo para el enriquecimiento personal y para la construcción de buenas relaciones con los demás.</w:t>
            </w:r>
          </w:p>
        </w:tc>
        <w:tc>
          <w:tcPr>
            <w:tcW w:type="dxa" w:w="1871"/>
          </w:tcPr>
          <w:p>
            <w:r/>
            <w:r>
              <w:rPr>
                <w:b/>
                <w:i w:val="0"/>
                <w:sz w:val="15"/>
              </w:rPr>
              <w:t xml:space="preserve">Formativa. </w:t>
            </w:r>
            <w:r>
              <w:rPr>
                <w:b/>
                <w:i/>
                <w:color w:val="595959"/>
                <w:sz w:val="15"/>
              </w:rPr>
              <w:t xml:space="preserve">Sugerencia — revisar: </w:t>
            </w:r>
            <w:r>
              <w:rPr>
                <w:b w:val="0"/>
                <w:i/>
                <w:color w:val="595959"/>
                <w:sz w:val="15"/>
              </w:rPr>
              <w:t>Lectura en voz alta de romances y décimas con pauta de fluidez; coevaluación de producciones de poesía popular.</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El docente pide a los estudiantes que repasen el “Romance de Gerineldo y la Infanta” que han leído en clases. Instrumento: Criterios de evaluación. (pág. 242)</w:t>
            </w:r>
          </w:p>
          <w:p>
            <w:pPr>
              <w:pStyle w:val="ListBullet"/>
              <w:spacing w:after="20"/>
              <w:ind w:left="198" w:hanging="170"/>
            </w:pPr>
            <w:r>
              <w:rPr>
                <w:b/>
                <w:i w:val="0"/>
                <w:sz w:val="15"/>
              </w:rPr>
              <w:t xml:space="preserve">Ejemplo 2: </w:t>
            </w:r>
            <w:r>
              <w:rPr>
                <w:b w:val="0"/>
                <w:i w:val="0"/>
                <w:sz w:val="15"/>
              </w:rPr>
              <w:t>El docente entrega a los estudiantes el “Romance del enamorado y la muerte” y luego les pide que, de manera individual, respondan las preguntas que siguen. Instrumento: Criterios de evaluación. (pág. 243)</w:t>
            </w:r>
          </w:p>
        </w:tc>
        <w:tc>
          <w:tcPr>
            <w:tcW w:type="dxa" w:w="1247"/>
          </w:tcPr>
          <w:p>
            <w:r/>
            <w:r>
              <w:rPr>
                <w:b/>
                <w:i/>
                <w:color w:val="595959"/>
                <w:sz w:val="15"/>
              </w:rPr>
              <w:t xml:space="preserve">Sugerencia — revisar: </w:t>
            </w:r>
            <w:r>
              <w:rPr>
                <w:b w:val="0"/>
                <w:i/>
                <w:color w:val="595959"/>
                <w:sz w:val="15"/>
              </w:rPr>
              <w:t>Antología de romances y poesía popular chilena (décimas, payas); grabaciones de canto a lo poeta; diccionario.</w:t>
            </w:r>
          </w:p>
        </w:tc>
      </w:tr>
      <w:tr>
        <w:tc>
          <w:tcPr>
            <w:tcW w:type="dxa" w:w="1757"/>
          </w:tcPr>
          <w:p>
            <w:r/>
            <w:r>
              <w:rPr>
                <w:b/>
                <w:i w:val="0"/>
                <w:sz w:val="16"/>
              </w:rPr>
              <w:t>Unidad 6</w:t>
            </w:r>
          </w:p>
          <w:p>
            <w:r>
              <w:rPr>
                <w:b/>
                <w:i w:val="0"/>
                <w:sz w:val="16"/>
              </w:rPr>
              <w:t>El terror y lo extraño</w:t>
            </w:r>
          </w:p>
          <w:p>
            <w:r>
              <w:rPr>
                <w:b w:val="0"/>
                <w:i w:val="0"/>
                <w:sz w:val="15"/>
              </w:rPr>
              <w:t>El propósito de la unidad es que los estudiantes lean, discutan y escriban acerca de textos seleccionados por el docente, relacionados con el terror y lo extraño.</w:t>
            </w:r>
          </w:p>
          <w:p>
            <w:r>
              <w:rPr>
                <w:b w:val="0"/>
                <w:i w:val="0"/>
                <w:color w:val="595959"/>
                <w:sz w:val="14"/>
              </w:rPr>
              <w:t>Programa, págs. 244–275</w:t>
            </w:r>
          </w:p>
        </w:tc>
        <w:tc>
          <w:tcPr>
            <w:tcW w:type="dxa" w:w="1134"/>
          </w:tcPr>
          <w:p>
            <w:r/>
            <w:r>
              <w:rPr>
                <w:b/>
                <w:i w:val="0"/>
                <w:sz w:val="15"/>
              </w:rPr>
              <w:t>Semestre 2</w:t>
            </w:r>
          </w:p>
          <w:p>
            <w:r>
              <w:rPr>
                <w:b w:val="0"/>
                <w:i w:val="0"/>
                <w:sz w:val="15"/>
              </w:rPr>
              <w:t>32 h pedagógicas</w:t>
            </w:r>
          </w:p>
          <w:p>
            <w:r>
              <w:rPr>
                <w:b w:val="0"/>
                <w:i w:val="0"/>
                <w:color w:val="595959"/>
                <w:sz w:val="15"/>
              </w:rPr>
              <w:t>Semanas 26 a 31</w:t>
            </w:r>
          </w:p>
        </w:tc>
        <w:tc>
          <w:tcPr>
            <w:tcW w:type="dxa" w:w="1134"/>
          </w:tcPr>
          <w:p>
            <w:r/>
            <w:r>
              <w:rPr>
                <w:b/>
                <w:i w:val="0"/>
                <w:sz w:val="15"/>
              </w:rPr>
              <w:t>OA 1, OA 2, OA 3, OA 7, OA 11, OA 14, OA 15, OA 17, OA 21</w:t>
            </w:r>
          </w:p>
          <w:p>
            <w:r>
              <w:rPr>
                <w:b w:val="0"/>
                <w:i w:val="0"/>
                <w:color w:val="595959"/>
                <w:sz w:val="14"/>
              </w:rPr>
              <w:t>(texto en Anexo G)</w:t>
            </w:r>
          </w:p>
          <w:p>
            <w:r>
              <w:rPr>
                <w:b w:val="0"/>
                <w:i w:val="0"/>
                <w:sz w:val="14"/>
              </w:rPr>
              <w:t>Evaluados en los ejemplos del Programa:</w:t>
            </w:r>
          </w:p>
          <w:p>
            <w:r>
              <w:rPr>
                <w:b/>
                <w:i w:val="0"/>
                <w:sz w:val="15"/>
              </w:rPr>
              <w:t>OA 3, OA 7</w:t>
            </w:r>
          </w:p>
        </w:tc>
        <w:tc>
          <w:tcPr>
            <w:tcW w:type="dxa" w:w="3413"/>
          </w:tcPr>
          <w:p>
            <w:r/>
            <w:r>
              <w:rPr>
                <w:b/>
                <w:i w:val="0"/>
                <w:sz w:val="15"/>
              </w:rPr>
              <w:t>Lecturas sugeridas (Programa, pág. 245)</w:t>
            </w:r>
          </w:p>
          <w:p>
            <w:pPr>
              <w:pStyle w:val="ListBullet"/>
              <w:spacing w:after="20"/>
              <w:ind w:left="198" w:hanging="170"/>
            </w:pPr>
            <w:r>
              <w:rPr>
                <w:b/>
                <w:i w:val="0"/>
                <w:sz w:val="15"/>
              </w:rPr>
              <w:t xml:space="preserve">Edgar Allan Poe: </w:t>
            </w:r>
            <w:r>
              <w:rPr>
                <w:b w:val="0"/>
                <w:i w:val="0"/>
                <w:sz w:val="15"/>
              </w:rPr>
              <w:t>“Ligeia”; “El barril de amontillado”; “El corazón delator”</w:t>
            </w:r>
          </w:p>
          <w:p>
            <w:pPr>
              <w:pStyle w:val="ListBullet"/>
              <w:spacing w:after="20"/>
              <w:ind w:left="198" w:hanging="170"/>
            </w:pPr>
            <w:r>
              <w:rPr>
                <w:b/>
                <w:i w:val="0"/>
                <w:sz w:val="15"/>
              </w:rPr>
              <w:t xml:space="preserve">Silvina Bullrich: </w:t>
            </w:r>
            <w:r>
              <w:rPr>
                <w:b w:val="0"/>
                <w:i w:val="0"/>
                <w:sz w:val="15"/>
              </w:rPr>
              <w:t>“El lobizón”</w:t>
            </w:r>
          </w:p>
          <w:p>
            <w:pPr>
              <w:pStyle w:val="ListBullet"/>
              <w:spacing w:after="20"/>
              <w:ind w:left="198" w:hanging="170"/>
            </w:pPr>
            <w:r>
              <w:rPr>
                <w:b/>
                <w:i w:val="0"/>
                <w:sz w:val="15"/>
              </w:rPr>
              <w:t xml:space="preserve">Leonora Carrington: </w:t>
            </w:r>
            <w:r>
              <w:rPr>
                <w:b w:val="0"/>
                <w:i w:val="0"/>
                <w:sz w:val="15"/>
              </w:rPr>
              <w:t>“Conejos blancos”</w:t>
            </w:r>
          </w:p>
          <w:p>
            <w:pPr>
              <w:pStyle w:val="ListBullet"/>
              <w:spacing w:after="20"/>
              <w:ind w:left="198" w:hanging="170"/>
            </w:pPr>
            <w:r>
              <w:rPr>
                <w:b/>
                <w:i w:val="0"/>
                <w:sz w:val="15"/>
              </w:rPr>
              <w:t xml:space="preserve">Julio Cortázar: </w:t>
            </w:r>
            <w:r>
              <w:rPr>
                <w:b w:val="0"/>
                <w:i w:val="0"/>
                <w:sz w:val="15"/>
              </w:rPr>
              <w:t>“No se culpe a nadie”</w:t>
            </w:r>
          </w:p>
          <w:p>
            <w:pPr>
              <w:pStyle w:val="ListBullet"/>
              <w:spacing w:after="20"/>
              <w:ind w:left="198" w:hanging="170"/>
            </w:pPr>
            <w:r>
              <w:rPr>
                <w:b/>
                <w:i w:val="0"/>
                <w:sz w:val="15"/>
              </w:rPr>
              <w:t xml:space="preserve">Marco Denevi: </w:t>
            </w:r>
            <w:r>
              <w:rPr>
                <w:b w:val="0"/>
                <w:i w:val="0"/>
                <w:sz w:val="15"/>
              </w:rPr>
              <w:t>“Cuento de horror”</w:t>
            </w:r>
          </w:p>
          <w:p>
            <w:pPr>
              <w:pStyle w:val="ListBullet"/>
              <w:spacing w:after="20"/>
              <w:ind w:left="198" w:hanging="170"/>
            </w:pPr>
            <w:r>
              <w:rPr>
                <w:b/>
                <w:i w:val="0"/>
                <w:sz w:val="15"/>
              </w:rPr>
              <w:t xml:space="preserve">Guy de Maupassant: </w:t>
            </w:r>
            <w:r>
              <w:rPr>
                <w:b w:val="0"/>
                <w:i w:val="0"/>
                <w:sz w:val="15"/>
              </w:rPr>
              <w:t>“La mano”</w:t>
            </w:r>
          </w:p>
          <w:p>
            <w:pPr>
              <w:pStyle w:val="ListBullet"/>
              <w:spacing w:after="20"/>
              <w:ind w:left="198" w:hanging="170"/>
            </w:pPr>
            <w:r>
              <w:rPr>
                <w:b/>
                <w:i w:val="0"/>
                <w:sz w:val="15"/>
              </w:rPr>
              <w:t xml:space="preserve">Gabriel García Márquez: </w:t>
            </w:r>
            <w:r>
              <w:rPr>
                <w:b w:val="0"/>
                <w:i w:val="0"/>
                <w:sz w:val="15"/>
              </w:rPr>
              <w:t>“Espantos de agosto”; “La luz es como el agua”</w:t>
            </w:r>
          </w:p>
          <w:p>
            <w:pPr>
              <w:pStyle w:val="ListBullet"/>
              <w:spacing w:after="20"/>
              <w:ind w:left="198" w:hanging="170"/>
            </w:pPr>
            <w:r>
              <w:rPr>
                <w:b/>
                <w:i w:val="0"/>
                <w:sz w:val="15"/>
              </w:rPr>
              <w:t xml:space="preserve">Nicolás Gogol: </w:t>
            </w:r>
            <w:r>
              <w:rPr>
                <w:b w:val="0"/>
                <w:i w:val="0"/>
                <w:sz w:val="15"/>
              </w:rPr>
              <w:t>“La nariz”</w:t>
            </w:r>
          </w:p>
          <w:p>
            <w:pPr>
              <w:pStyle w:val="ListBullet"/>
              <w:spacing w:after="20"/>
              <w:ind w:left="198" w:hanging="170"/>
            </w:pPr>
            <w:r>
              <w:rPr>
                <w:b/>
                <w:i w:val="0"/>
                <w:sz w:val="15"/>
              </w:rPr>
              <w:t xml:space="preserve">Washington Irving: </w:t>
            </w:r>
            <w:r>
              <w:rPr>
                <w:b w:val="0"/>
                <w:i w:val="0"/>
                <w:sz w:val="15"/>
              </w:rPr>
              <w:t>“Rip van Winkle”</w:t>
            </w:r>
          </w:p>
          <w:p>
            <w:pPr>
              <w:pStyle w:val="ListBullet"/>
              <w:spacing w:after="20"/>
              <w:ind w:left="198" w:hanging="170"/>
            </w:pPr>
            <w:r>
              <w:rPr>
                <w:b/>
                <w:i w:val="0"/>
                <w:sz w:val="15"/>
              </w:rPr>
              <w:t xml:space="preserve">W.W. Jacobs: </w:t>
            </w:r>
            <w:r>
              <w:rPr>
                <w:b w:val="0"/>
                <w:i w:val="0"/>
                <w:sz w:val="15"/>
              </w:rPr>
              <w:t>“La pata de mono”</w:t>
            </w:r>
          </w:p>
          <w:p>
            <w:pPr>
              <w:pStyle w:val="ListBullet"/>
              <w:spacing w:after="20"/>
              <w:ind w:left="198" w:hanging="170"/>
            </w:pPr>
            <w:r>
              <w:rPr>
                <w:b/>
                <w:i w:val="0"/>
                <w:sz w:val="15"/>
              </w:rPr>
              <w:t xml:space="preserve">Stephen King: </w:t>
            </w:r>
            <w:r>
              <w:rPr>
                <w:b w:val="0"/>
                <w:i w:val="0"/>
                <w:sz w:val="15"/>
              </w:rPr>
              <w:t>“Crouch end”</w:t>
            </w:r>
          </w:p>
          <w:p>
            <w:pPr>
              <w:pStyle w:val="ListBullet"/>
              <w:spacing w:after="20"/>
              <w:ind w:left="198" w:hanging="170"/>
            </w:pPr>
            <w:r>
              <w:rPr>
                <w:b/>
                <w:i w:val="0"/>
                <w:sz w:val="15"/>
              </w:rPr>
              <w:t xml:space="preserve">Don Juan Manuel: </w:t>
            </w:r>
            <w:r>
              <w:rPr>
                <w:b w:val="0"/>
                <w:i w:val="0"/>
                <w:sz w:val="15"/>
              </w:rPr>
              <w:t>“Ejemplo XI: de lo que aconteció a un deán de Santiago con don Illán, el gran maestre, que vivía en Toledo” en El conde Lucanor</w:t>
            </w:r>
          </w:p>
          <w:p>
            <w:pPr>
              <w:pStyle w:val="ListBullet"/>
              <w:spacing w:after="20"/>
              <w:ind w:left="198" w:hanging="170"/>
            </w:pPr>
            <w:r>
              <w:rPr>
                <w:b/>
                <w:i w:val="0"/>
                <w:sz w:val="15"/>
              </w:rPr>
              <w:t xml:space="preserve">Baldomero Lillo: </w:t>
            </w:r>
            <w:r>
              <w:rPr>
                <w:b w:val="0"/>
                <w:i w:val="0"/>
                <w:sz w:val="15"/>
              </w:rPr>
              <w:t>“El anillo”</w:t>
            </w:r>
          </w:p>
          <w:p>
            <w:pPr>
              <w:pStyle w:val="ListBullet"/>
              <w:spacing w:after="20"/>
              <w:ind w:left="198" w:hanging="170"/>
            </w:pPr>
            <w:r>
              <w:rPr>
                <w:b/>
                <w:i w:val="0"/>
                <w:sz w:val="15"/>
              </w:rPr>
              <w:t xml:space="preserve">H. P. Lovecraft: </w:t>
            </w:r>
            <w:r>
              <w:rPr>
                <w:b w:val="0"/>
                <w:i w:val="0"/>
                <w:sz w:val="15"/>
              </w:rPr>
              <w:t>“La decisión de Randolph Carter”</w:t>
            </w:r>
          </w:p>
          <w:p>
            <w:pPr>
              <w:pStyle w:val="ListBullet"/>
              <w:spacing w:after="20"/>
              <w:ind w:left="198" w:hanging="170"/>
            </w:pPr>
            <w:r>
              <w:rPr>
                <w:b/>
                <w:i w:val="0"/>
                <w:sz w:val="15"/>
              </w:rPr>
              <w:t xml:space="preserve">Emilia Pardo Bazán: </w:t>
            </w:r>
            <w:r>
              <w:rPr>
                <w:b w:val="0"/>
                <w:i w:val="0"/>
                <w:sz w:val="15"/>
              </w:rPr>
              <w:t>“Un destripador de antaño”</w:t>
            </w:r>
          </w:p>
          <w:p>
            <w:pPr>
              <w:pStyle w:val="ListBullet"/>
              <w:spacing w:after="20"/>
              <w:ind w:left="198" w:hanging="170"/>
            </w:pPr>
            <w:r>
              <w:rPr>
                <w:b/>
                <w:i w:val="0"/>
                <w:sz w:val="15"/>
              </w:rPr>
              <w:t xml:space="preserve">Horacio Quiroga: </w:t>
            </w:r>
            <w:r>
              <w:rPr>
                <w:b w:val="0"/>
                <w:i w:val="0"/>
                <w:sz w:val="15"/>
              </w:rPr>
              <w:t>“El almohadón de plumas”</w:t>
            </w:r>
          </w:p>
          <w:p>
            <w:pPr>
              <w:pStyle w:val="ListBullet"/>
              <w:spacing w:after="20"/>
              <w:ind w:left="198" w:hanging="170"/>
            </w:pPr>
            <w:r>
              <w:rPr>
                <w:b/>
                <w:i w:val="0"/>
                <w:sz w:val="15"/>
              </w:rPr>
              <w:t xml:space="preserve">Bram Stoker: </w:t>
            </w:r>
            <w:r>
              <w:rPr>
                <w:b w:val="0"/>
                <w:i w:val="0"/>
                <w:sz w:val="15"/>
              </w:rPr>
              <w:t>“La casa del juez”</w:t>
            </w:r>
          </w:p>
          <w:p>
            <w:pPr>
              <w:pStyle w:val="ListBullet"/>
              <w:spacing w:after="20"/>
              <w:ind w:left="198" w:hanging="170"/>
            </w:pPr>
            <w:r>
              <w:rPr>
                <w:b/>
                <w:i w:val="0"/>
                <w:sz w:val="15"/>
              </w:rPr>
              <w:t xml:space="preserve">Jorge Teillier: </w:t>
            </w:r>
            <w:r>
              <w:rPr>
                <w:b w:val="0"/>
                <w:i w:val="0"/>
                <w:sz w:val="15"/>
              </w:rPr>
              <w:t>“Los conjuros”; “El bosque mágico”</w:t>
            </w:r>
          </w:p>
          <w:p>
            <w:pPr>
              <w:pStyle w:val="ListBullet"/>
              <w:spacing w:after="20"/>
              <w:ind w:left="198" w:hanging="170"/>
            </w:pPr>
            <w:r>
              <w:rPr>
                <w:b/>
                <w:i w:val="0"/>
                <w:sz w:val="15"/>
              </w:rPr>
              <w:t xml:space="preserve">Chris van Allsburg: </w:t>
            </w:r>
            <w:r>
              <w:rPr>
                <w:b w:val="0"/>
                <w:i w:val="0"/>
                <w:sz w:val="15"/>
              </w:rPr>
              <w:t>Jumanji</w:t>
            </w:r>
          </w:p>
          <w:p>
            <w:pPr>
              <w:pStyle w:val="ListBullet"/>
              <w:spacing w:after="20"/>
              <w:ind w:left="198" w:hanging="170"/>
            </w:pPr>
            <w:r>
              <w:rPr>
                <w:b/>
                <w:i w:val="0"/>
                <w:sz w:val="15"/>
              </w:rPr>
              <w:t xml:space="preserve">Oscar Wilde: </w:t>
            </w:r>
            <w:r>
              <w:rPr>
                <w:b w:val="0"/>
                <w:i w:val="0"/>
                <w:sz w:val="15"/>
              </w:rPr>
              <w:t>El fantasma de Canterville</w:t>
            </w:r>
          </w:p>
        </w:tc>
        <w:tc>
          <w:tcPr>
            <w:tcW w:type="dxa" w:w="4637"/>
          </w:tcPr>
          <w:p>
            <w:r/>
            <w:r>
              <w:rPr>
                <w:b/>
                <w:i w:val="0"/>
                <w:sz w:val="15"/>
              </w:rPr>
              <w:t>Ejemplo 1 (OA 3) · pág. 272</w:t>
            </w:r>
          </w:p>
          <w:p>
            <w:pPr>
              <w:pStyle w:val="ListBullet"/>
              <w:spacing w:after="20"/>
              <w:ind w:left="198" w:hanging="170"/>
            </w:pPr>
            <w:r>
              <w:rPr>
                <w:b w:val="0"/>
                <w:i w:val="0"/>
                <w:sz w:val="15"/>
              </w:rPr>
              <w:t>Explican el o los conflictos de una narración.</w:t>
            </w:r>
          </w:p>
          <w:p>
            <w:pPr>
              <w:pStyle w:val="ListBullet"/>
              <w:spacing w:after="20"/>
              <w:ind w:left="198" w:hanging="170"/>
            </w:pPr>
            <w:r>
              <w:rPr>
                <w:b w:val="0"/>
                <w:i w:val="0"/>
                <w:sz w:val="15"/>
              </w:rPr>
              <w:t>Describen los problemas a los que se enfrentan los personajes en un texto.</w:t>
            </w:r>
          </w:p>
          <w:p>
            <w:pPr>
              <w:pStyle w:val="ListBullet"/>
              <w:spacing w:after="20"/>
              <w:ind w:left="198" w:hanging="170"/>
            </w:pPr>
            <w:r>
              <w:rPr>
                <w:b w:val="0"/>
                <w:i w:val="0"/>
                <w:sz w:val="15"/>
              </w:rPr>
              <w:t>Describen a los personajes y ejemplifican su descripción a partir de lo que dicen, hacen y lo que se dice de ellos.</w:t>
            </w:r>
          </w:p>
          <w:p>
            <w:pPr>
              <w:pStyle w:val="ListBullet"/>
              <w:spacing w:after="20"/>
              <w:ind w:left="198" w:hanging="170"/>
            </w:pPr>
            <w:r>
              <w:rPr>
                <w:b w:val="0"/>
                <w:i w:val="0"/>
                <w:sz w:val="15"/>
              </w:rPr>
              <w:t>Explican cómo cambia un personaje después de un evento provocado por otro.</w:t>
            </w:r>
          </w:p>
          <w:p>
            <w:pPr>
              <w:pStyle w:val="ListBullet"/>
              <w:spacing w:after="20"/>
              <w:ind w:left="198" w:hanging="170"/>
            </w:pPr>
            <w:r>
              <w:rPr>
                <w:b w:val="0"/>
                <w:i w:val="0"/>
                <w:sz w:val="15"/>
              </w:rPr>
              <w:t>Explican cómo los personajes intentan resolver los dilemas que enfrentan y dan una opinión justificada al respecto.</w:t>
            </w:r>
          </w:p>
          <w:p>
            <w:pPr>
              <w:pStyle w:val="ListBullet"/>
              <w:spacing w:after="20"/>
              <w:ind w:left="198" w:hanging="170"/>
            </w:pPr>
            <w:r>
              <w:rPr>
                <w:b w:val="0"/>
                <w:i w:val="0"/>
                <w:sz w:val="15"/>
              </w:rPr>
              <w:t>Describen cuáles son las consecuencias de las acciones de un personaje.</w:t>
            </w:r>
          </w:p>
          <w:p>
            <w:pPr>
              <w:pStyle w:val="ListBullet"/>
              <w:spacing w:after="20"/>
              <w:ind w:left="198" w:hanging="170"/>
            </w:pPr>
            <w:r>
              <w:rPr>
                <w:b w:val="0"/>
                <w:i w:val="0"/>
                <w:sz w:val="15"/>
              </w:rPr>
              <w:t>Recuentan un evento relevante del relato y explican cuáles otros se desencadenan a partir de este o argumentan por qué es relevante para la historia.</w:t>
            </w:r>
          </w:p>
          <w:p>
            <w:r>
              <w:rPr>
                <w:b/>
                <w:i w:val="0"/>
                <w:sz w:val="15"/>
              </w:rPr>
              <w:t>Ejemplo 2 (OA 7) · pág. 274</w:t>
            </w:r>
          </w:p>
          <w:p>
            <w:pPr>
              <w:pStyle w:val="ListBullet"/>
              <w:spacing w:after="20"/>
              <w:ind w:left="198" w:hanging="170"/>
            </w:pPr>
            <w:r>
              <w:rPr>
                <w:b w:val="0"/>
                <w:i w:val="0"/>
                <w:sz w:val="15"/>
              </w:rPr>
              <w:t>Ofrecen una interpretación del texto leído que aborda temas que van más allá de lo literal o de un mero recuento.</w:t>
            </w:r>
          </w:p>
          <w:p>
            <w:pPr>
              <w:pStyle w:val="ListBullet"/>
              <w:spacing w:after="20"/>
              <w:ind w:left="198" w:hanging="170"/>
            </w:pPr>
            <w:r>
              <w:rPr>
                <w:b w:val="0"/>
                <w:i w:val="0"/>
                <w:sz w:val="15"/>
              </w:rPr>
              <w:t>Explican y ejemplifican por qué el texto leído se inserta en el tema que está en estudio.</w:t>
            </w:r>
          </w:p>
          <w:p>
            <w:pPr>
              <w:pStyle w:val="ListBullet"/>
              <w:spacing w:after="20"/>
              <w:ind w:left="198" w:hanging="170"/>
            </w:pPr>
            <w:r>
              <w:rPr>
                <w:b w:val="0"/>
                <w:i w:val="0"/>
                <w:sz w:val="15"/>
              </w:rPr>
              <w:t>Relacionan el texto con sus propias experiencias y ofrecen una interpretación para un fragmento o el total de lo leído.</w:t>
            </w:r>
          </w:p>
          <w:p>
            <w:pPr>
              <w:pStyle w:val="ListBullet"/>
              <w:spacing w:after="20"/>
              <w:ind w:left="198" w:hanging="170"/>
            </w:pPr>
            <w:r>
              <w:rPr>
                <w:b w:val="0"/>
                <w:i w:val="0"/>
                <w:sz w:val="15"/>
              </w:rPr>
              <w:t>Plantean su postura frente a un dilema o situación problemática que se propone en el texto y fundamentan con ejemplos del mismo.</w:t>
            </w:r>
          </w:p>
        </w:tc>
        <w:tc>
          <w:tcPr>
            <w:tcW w:type="dxa" w:w="1474"/>
          </w:tcPr>
          <w:p>
            <w:r/>
            <w:r>
              <w:rPr>
                <w:b/>
                <w:i w:val="0"/>
                <w:sz w:val="15"/>
              </w:rPr>
              <w:t xml:space="preserve">OA A: </w:t>
            </w:r>
            <w:r>
              <w:rPr>
                <w:b w:val="0"/>
                <w:i w:val="0"/>
                <w:sz w:val="15"/>
              </w:rPr>
              <w:t>Manifestar disposición a formarse un pensamiento propio, reflexivo e informado, mediante una lectura crítica y el diálogo con otros.</w:t>
            </w:r>
          </w:p>
          <w:p>
            <w:r>
              <w:rPr>
                <w:b/>
                <w:i w:val="0"/>
                <w:sz w:val="15"/>
              </w:rPr>
              <w:t xml:space="preserve">OA C: </w:t>
            </w:r>
            <w:r>
              <w:rPr>
                <w:b w:val="0"/>
                <w:i w:val="0"/>
                <w:sz w:val="15"/>
              </w:rPr>
              <w:t>Interesarse por comprender las experiencias e ideas de los demás, utilizando la lectura y el diálogo para el enriquecimiento personal y para la construcción de buenas relaciones con los demás.</w:t>
            </w:r>
          </w:p>
          <w:p>
            <w:r>
              <w:rPr>
                <w:b/>
                <w:i w:val="0"/>
                <w:sz w:val="15"/>
              </w:rPr>
              <w:t xml:space="preserve">OA D: </w:t>
            </w:r>
            <w:r>
              <w:rPr>
                <w:b w:val="0"/>
                <w:i w:val="0"/>
                <w:sz w:val="15"/>
              </w:rPr>
              <w:t>Valorar la diversidad de perspectivas, creencias y culturas, presentes en su entorno y el mundo, como manifestación de la libertad, creatividad y dignidad humana.</w:t>
            </w:r>
          </w:p>
        </w:tc>
        <w:tc>
          <w:tcPr>
            <w:tcW w:type="dxa" w:w="1871"/>
          </w:tcPr>
          <w:p>
            <w:r/>
            <w:r>
              <w:rPr>
                <w:b/>
                <w:i w:val="0"/>
                <w:sz w:val="15"/>
              </w:rPr>
              <w:t xml:space="preserve">Formativa. </w:t>
            </w:r>
            <w:r>
              <w:rPr>
                <w:b/>
                <w:i/>
                <w:color w:val="595959"/>
                <w:sz w:val="15"/>
              </w:rPr>
              <w:t xml:space="preserve">Sugerencia — revisar: </w:t>
            </w:r>
            <w:r>
              <w:rPr>
                <w:b w:val="0"/>
                <w:i/>
                <w:color w:val="595959"/>
                <w:sz w:val="15"/>
              </w:rPr>
              <w:t>Preguntas de interpretación durante la lectura de cuentos de terror; revisión de borradores de análisis con pauta.</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Luego de haber analizado en clases varios relatos de terror, los estudiantes leen de manera individual “La pata de mono” de W. Instrumento: Pauta de evaluación. (pág. 272)</w:t>
            </w:r>
          </w:p>
          <w:p>
            <w:pPr>
              <w:pStyle w:val="ListBullet"/>
              <w:spacing w:after="20"/>
              <w:ind w:left="198" w:hanging="170"/>
            </w:pPr>
            <w:r>
              <w:rPr>
                <w:b/>
                <w:i w:val="0"/>
                <w:sz w:val="15"/>
              </w:rPr>
              <w:t xml:space="preserve">Ejemplo 2: </w:t>
            </w:r>
            <w:r>
              <w:rPr>
                <w:b w:val="0"/>
                <w:i w:val="0"/>
                <w:sz w:val="15"/>
              </w:rPr>
              <w:t>Después de haber analizado “La pata de mono” de W. Instrumento: Pauta de evaluación. (pág. 274)</w:t>
            </w:r>
          </w:p>
        </w:tc>
        <w:tc>
          <w:tcPr>
            <w:tcW w:type="dxa" w:w="1247"/>
          </w:tcPr>
          <w:p>
            <w:r/>
            <w:r>
              <w:rPr>
                <w:b/>
                <w:i/>
                <w:color w:val="595959"/>
                <w:sz w:val="15"/>
              </w:rPr>
              <w:t xml:space="preserve">Sugerencia — revisar: </w:t>
            </w:r>
            <w:r>
              <w:rPr>
                <w:b w:val="0"/>
                <w:i/>
                <w:color w:val="595959"/>
                <w:sz w:val="15"/>
              </w:rPr>
              <w:t>Cuentos de terror y relatos de lo extraño; organizadores para analizar ambiente y narrador; procesador de textos.</w:t>
            </w:r>
          </w:p>
        </w:tc>
      </w:tr>
      <w:tr>
        <w:tc>
          <w:tcPr>
            <w:tcW w:type="dxa" w:w="1757"/>
          </w:tcPr>
          <w:p>
            <w:r/>
            <w:r>
              <w:rPr>
                <w:b/>
                <w:i w:val="0"/>
                <w:sz w:val="16"/>
              </w:rPr>
              <w:t>Unidad 7</w:t>
            </w:r>
          </w:p>
          <w:p>
            <w:r>
              <w:rPr>
                <w:b/>
                <w:i w:val="0"/>
                <w:sz w:val="16"/>
              </w:rPr>
              <w:t>Medios de comunicación</w:t>
            </w:r>
          </w:p>
          <w:p>
            <w:r>
              <w:rPr>
                <w:b w:val="0"/>
                <w:i w:val="0"/>
                <w:sz w:val="15"/>
              </w:rPr>
              <w:t>El propósito de esta unidad es que los estudiantes hagan una reflexión y una lectura analítica y crítica de textos los medios de comunicación, tanto orales como escritos.</w:t>
            </w:r>
          </w:p>
          <w:p>
            <w:r>
              <w:rPr>
                <w:b w:val="0"/>
                <w:i w:val="0"/>
                <w:color w:val="595959"/>
                <w:sz w:val="14"/>
              </w:rPr>
              <w:t>Programa, págs. 276–304</w:t>
            </w:r>
          </w:p>
        </w:tc>
        <w:tc>
          <w:tcPr>
            <w:tcW w:type="dxa" w:w="1134"/>
          </w:tcPr>
          <w:p>
            <w:r/>
            <w:r>
              <w:rPr>
                <w:b/>
                <w:i w:val="0"/>
                <w:sz w:val="15"/>
              </w:rPr>
              <w:t>Semestre 2</w:t>
            </w:r>
          </w:p>
          <w:p>
            <w:r>
              <w:rPr>
                <w:b w:val="0"/>
                <w:i w:val="0"/>
                <w:sz w:val="15"/>
              </w:rPr>
              <w:t>34 h pedagógicas</w:t>
            </w:r>
          </w:p>
          <w:p>
            <w:r>
              <w:rPr>
                <w:b w:val="0"/>
                <w:i w:val="0"/>
                <w:color w:val="595959"/>
                <w:sz w:val="15"/>
              </w:rPr>
              <w:t>Semanas 32 a 38</w:t>
            </w:r>
          </w:p>
        </w:tc>
        <w:tc>
          <w:tcPr>
            <w:tcW w:type="dxa" w:w="1134"/>
          </w:tcPr>
          <w:p>
            <w:r/>
            <w:r>
              <w:rPr>
                <w:b/>
                <w:i w:val="0"/>
                <w:sz w:val="15"/>
              </w:rPr>
              <w:t>OA 1, OA 9, OA 12, OA 18, OA 20, OA 22, OA 23, OA 24, OA 25</w:t>
            </w:r>
          </w:p>
          <w:p>
            <w:r>
              <w:rPr>
                <w:b w:val="0"/>
                <w:i w:val="0"/>
                <w:color w:val="595959"/>
                <w:sz w:val="14"/>
              </w:rPr>
              <w:t>(texto en Anexo G)</w:t>
            </w:r>
          </w:p>
          <w:p>
            <w:r>
              <w:rPr>
                <w:b w:val="0"/>
                <w:i w:val="0"/>
                <w:sz w:val="14"/>
              </w:rPr>
              <w:t>Evaluados en los ejemplos del Programa:</w:t>
            </w:r>
          </w:p>
          <w:p>
            <w:r>
              <w:rPr>
                <w:b/>
                <w:i w:val="0"/>
                <w:sz w:val="15"/>
              </w:rPr>
              <w:t>OA 23, OA 25</w:t>
            </w:r>
          </w:p>
        </w:tc>
        <w:tc>
          <w:tcPr>
            <w:tcW w:type="dxa" w:w="3413"/>
          </w:tcPr>
          <w:p>
            <w:r/>
            <w:r>
              <w:rPr>
                <w:b w:val="0"/>
                <w:i w:val="0"/>
                <w:color w:val="595959"/>
                <w:sz w:val="15"/>
              </w:rPr>
              <w:t>—</w:t>
            </w:r>
          </w:p>
        </w:tc>
        <w:tc>
          <w:tcPr>
            <w:tcW w:type="dxa" w:w="4637"/>
          </w:tcPr>
          <w:p>
            <w:r/>
            <w:r>
              <w:rPr>
                <w:b/>
                <w:i w:val="0"/>
                <w:sz w:val="15"/>
              </w:rPr>
              <w:t>Ejemplo 1 (OA 25) · pág. 301</w:t>
            </w:r>
          </w:p>
          <w:p>
            <w:pPr>
              <w:pStyle w:val="ListBullet"/>
              <w:spacing w:after="20"/>
              <w:ind w:left="198" w:hanging="170"/>
            </w:pPr>
            <w:r>
              <w:rPr>
                <w:b w:val="0"/>
                <w:i w:val="0"/>
                <w:sz w:val="15"/>
              </w:rPr>
              <w:t>Registran las ideas principales mientras escuchan una exposición o ven un texto audiovisual.</w:t>
            </w:r>
          </w:p>
          <w:p>
            <w:pPr>
              <w:pStyle w:val="ListBullet"/>
              <w:spacing w:after="20"/>
              <w:ind w:left="198" w:hanging="170"/>
            </w:pPr>
            <w:r>
              <w:rPr>
                <w:b w:val="0"/>
                <w:i w:val="0"/>
                <w:sz w:val="15"/>
              </w:rPr>
              <w:t>Escriben las ideas principales de un texto a medida que leen o una vez terminada la lectura.</w:t>
            </w:r>
          </w:p>
          <w:p>
            <w:pPr>
              <w:pStyle w:val="ListBullet"/>
              <w:spacing w:after="20"/>
              <w:ind w:left="198" w:hanging="170"/>
            </w:pPr>
            <w:r>
              <w:rPr>
                <w:b w:val="0"/>
                <w:i w:val="0"/>
                <w:sz w:val="15"/>
              </w:rPr>
              <w:t>Usan sus apuntes para elaborar los informes y presentaciones de sus investigaciones.</w:t>
            </w:r>
          </w:p>
          <w:p>
            <w:r>
              <w:rPr>
                <w:b/>
                <w:i w:val="0"/>
                <w:sz w:val="15"/>
              </w:rPr>
              <w:t>Ejemplo 2 (OA 23) · pág. 302</w:t>
            </w:r>
          </w:p>
          <w:p>
            <w:pPr>
              <w:pStyle w:val="ListBullet"/>
              <w:spacing w:after="20"/>
              <w:ind w:left="198" w:hanging="170"/>
            </w:pPr>
            <w:r>
              <w:rPr>
                <w:b w:val="0"/>
                <w:i w:val="0"/>
                <w:sz w:val="15"/>
              </w:rPr>
              <w:t>Se expresan demostrando dominio del registro que requiere cada situación.</w:t>
            </w:r>
          </w:p>
          <w:p>
            <w:pPr>
              <w:pStyle w:val="ListBullet"/>
              <w:spacing w:after="20"/>
              <w:ind w:left="198" w:hanging="170"/>
            </w:pPr>
            <w:r>
              <w:rPr>
                <w:b w:val="0"/>
                <w:i w:val="0"/>
                <w:sz w:val="15"/>
              </w:rPr>
              <w:t>Demuestran dominio de la norma culta formal en sus presentaciones y otras situaciones que lo requieran.</w:t>
            </w:r>
          </w:p>
          <w:p>
            <w:pPr>
              <w:pStyle w:val="ListBullet"/>
              <w:spacing w:after="20"/>
              <w:ind w:left="198" w:hanging="170"/>
            </w:pPr>
            <w:r>
              <w:rPr>
                <w:b w:val="0"/>
                <w:i w:val="0"/>
                <w:sz w:val="15"/>
              </w:rPr>
              <w:t>Utilizan estrategias conversacionales que demuestran respeto por el otro, como por ejemplo, mirar a la persona que está hablando, demostrar que se escuchó lo que el otro dijo, uso de elementos paraverbales que demuestran atención, comentarios breves que indican que se está escuchando, uso de expresiones como “es válido lo que dices, pero yo agregaría…”, “no estoy de acuerdo con… aspecto de lo que dices”, etc.</w:t>
            </w:r>
          </w:p>
          <w:p>
            <w:pPr>
              <w:pStyle w:val="ListBullet"/>
              <w:spacing w:after="20"/>
              <w:ind w:left="198" w:hanging="170"/>
            </w:pPr>
            <w:r>
              <w:rPr>
                <w:b w:val="0"/>
                <w:i w:val="0"/>
                <w:sz w:val="15"/>
              </w:rPr>
              <w:t>Emplean un volumen, velocidad y dicción adecuados para que el interlocutor pueda escuchar bien.</w:t>
            </w:r>
          </w:p>
        </w:tc>
        <w:tc>
          <w:tcPr>
            <w:tcW w:type="dxa" w:w="1474"/>
          </w:tcPr>
          <w:p>
            <w:r/>
            <w:r>
              <w:rPr>
                <w:b/>
                <w:i w:val="0"/>
                <w:sz w:val="15"/>
              </w:rPr>
              <w:t xml:space="preserve">OA B: </w:t>
            </w:r>
            <w:r>
              <w:rPr>
                <w:b w:val="0"/>
                <w:i w:val="0"/>
                <w:sz w:val="15"/>
              </w:rPr>
              <w:t>Manifestar disposición a reflexionar sobre sí mismo y sobre las cuestiones sociales y éticas que emanan de las lecturas.</w:t>
            </w:r>
          </w:p>
          <w:p>
            <w:r>
              <w:rPr>
                <w:b/>
                <w:i w:val="0"/>
                <w:sz w:val="15"/>
              </w:rPr>
              <w:t xml:space="preserve">OA E: </w:t>
            </w:r>
            <w:r>
              <w:rPr>
                <w:b w:val="0"/>
                <w:i w:val="0"/>
                <w:sz w:val="15"/>
              </w:rPr>
              <w:t>Valorar las posibilidades que da el discurso hablado y escrito para participar de manera proactiva, informada y responsable en la vida de la sociedad democrática.</w:t>
            </w:r>
          </w:p>
          <w:p>
            <w:r>
              <w:rPr>
                <w:b/>
                <w:i w:val="0"/>
                <w:sz w:val="15"/>
              </w:rPr>
              <w:t xml:space="preserve">OA G: </w:t>
            </w:r>
            <w:r>
              <w:rPr>
                <w:b w:val="0"/>
                <w:i w:val="0"/>
                <w:sz w:val="15"/>
              </w:rPr>
              <w:t>Realizar tareas y trabajos de forma rigurosa y perseverante, entendiendo que los logros se obtienen solo después de un trabajo prolongado.</w:t>
            </w:r>
          </w:p>
          <w:p>
            <w:r>
              <w:rPr>
                <w:b/>
                <w:i w:val="0"/>
                <w:sz w:val="15"/>
              </w:rPr>
              <w:t xml:space="preserve">OA H: </w:t>
            </w:r>
            <w:r>
              <w:rPr>
                <w:b w:val="0"/>
                <w:i w:val="0"/>
                <w:sz w:val="15"/>
              </w:rPr>
              <w:t>Trabajar colaborativamente, usando de manera responsable las tecnologías de la comunicación, dando crédito al trabajo de otros y respetando la propiedad y la privacidad de las personas.</w:t>
            </w:r>
          </w:p>
        </w:tc>
        <w:tc>
          <w:tcPr>
            <w:tcW w:type="dxa" w:w="1871"/>
          </w:tcPr>
          <w:p>
            <w:r/>
            <w:r>
              <w:rPr>
                <w:b/>
                <w:i w:val="0"/>
                <w:sz w:val="15"/>
              </w:rPr>
              <w:t>Diagnóstica (Programa):</w:t>
            </w:r>
          </w:p>
          <w:p>
            <w:pPr>
              <w:pStyle w:val="ListBullet"/>
              <w:spacing w:after="20"/>
              <w:ind w:left="198" w:hanging="170"/>
            </w:pPr>
            <w:r>
              <w:rPr>
                <w:b/>
                <w:i w:val="0"/>
                <w:sz w:val="15"/>
              </w:rPr>
              <w:t xml:space="preserve">Ejemplo 1: </w:t>
            </w:r>
            <w:r>
              <w:rPr>
                <w:b w:val="0"/>
                <w:i w:val="0"/>
                <w:sz w:val="15"/>
              </w:rPr>
              <w:t>Los estudiantes preparan una exposición para presentar al resto del curso los resultados de la investigación realizada durante la unidad. (pág. 301)</w:t>
            </w:r>
          </w:p>
          <w:p>
            <w:r>
              <w:rPr>
                <w:b/>
                <w:i w:val="0"/>
                <w:sz w:val="15"/>
              </w:rPr>
              <w:t xml:space="preserve">Formativa. </w:t>
            </w:r>
            <w:r>
              <w:rPr>
                <w:b/>
                <w:i/>
                <w:color w:val="595959"/>
                <w:sz w:val="15"/>
              </w:rPr>
              <w:t xml:space="preserve">Sugerencia — revisar: </w:t>
            </w:r>
            <w:r>
              <w:rPr>
                <w:b w:val="0"/>
                <w:i/>
                <w:color w:val="595959"/>
                <w:sz w:val="15"/>
              </w:rPr>
              <w:t>Análisis guiado de noticias y publicidad con pauta; retroalimentación en el proceso de escritura de un texto para un medio escolar.</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2: </w:t>
            </w:r>
            <w:r>
              <w:rPr>
                <w:b w:val="0"/>
                <w:i w:val="0"/>
                <w:sz w:val="15"/>
              </w:rPr>
              <w:t>Los estudiantes presentan sus investigaciones al resto del curso, en una exposición que han preparado y ensayado con anticipación. Instrumento: Pauta de evaluación. (pág. 302)</w:t>
            </w:r>
          </w:p>
        </w:tc>
        <w:tc>
          <w:tcPr>
            <w:tcW w:type="dxa" w:w="1247"/>
          </w:tcPr>
          <w:p>
            <w:r/>
            <w:r>
              <w:rPr>
                <w:b/>
                <w:i/>
                <w:color w:val="595959"/>
                <w:sz w:val="15"/>
              </w:rPr>
              <w:t xml:space="preserve">Sugerencia — revisar: </w:t>
            </w:r>
            <w:r>
              <w:rPr>
                <w:b w:val="0"/>
                <w:i/>
                <w:color w:val="595959"/>
                <w:sz w:val="15"/>
              </w:rPr>
              <w:t>Noticias, reportajes, cartas al director y avisos publicitarios actuales, incluidos medios regionales y locales; acceso a internet.</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Presentar los textos en varios formatos (lectura en voz alta, audiolibro, versión ilustrada o adaptada), con apoyo visual del vocabulario.</w:t>
            </w:r>
          </w:p>
          <w:p>
            <w:r>
              <w:rPr>
                <w:b/>
                <w:i w:val="0"/>
                <w:sz w:val="18"/>
              </w:rPr>
              <w:t xml:space="preserve">Múltiples formas de acción y expresión: </w:t>
            </w:r>
            <w:r>
              <w:rPr>
                <w:b/>
                <w:i/>
                <w:color w:val="595959"/>
                <w:sz w:val="18"/>
              </w:rPr>
              <w:t xml:space="preserve">Sugerencia — revisar: </w:t>
            </w:r>
            <w:r>
              <w:rPr>
                <w:b w:val="0"/>
                <w:i/>
                <w:color w:val="595959"/>
                <w:sz w:val="18"/>
              </w:rPr>
              <w:t>Permitir demostrar la comprensión de forma oral, escrita o multimodal (comentario oral, cómic, presentación, podcast).</w:t>
            </w:r>
          </w:p>
          <w:p>
            <w:r>
              <w:rPr>
                <w:b/>
                <w:i w:val="0"/>
                <w:sz w:val="18"/>
              </w:rPr>
              <w:t xml:space="preserve">Múltiples formas de implicación: </w:t>
            </w:r>
            <w:r>
              <w:rPr>
                <w:b/>
                <w:i/>
                <w:color w:val="595959"/>
                <w:sz w:val="18"/>
              </w:rPr>
              <w:t xml:space="preserve">Sugerencia — revisar: </w:t>
            </w:r>
            <w:r>
              <w:rPr>
                <w:b w:val="0"/>
                <w:i/>
                <w:color w:val="595959"/>
                <w:sz w:val="18"/>
              </w:rPr>
              <w:t>Ofrecer lecturas a elección dentro del tema de la unidad y trabajo colaborativo con roles definidos.</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614/2013 y DS 369/2015);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LECTURA</w:t>
            </w:r>
          </w:p>
        </w:tc>
      </w:tr>
      <w:tr>
        <w:trPr>
          <w:cantSplit/>
        </w:trPr>
        <w:tc>
          <w:tcPr>
            <w:tcW w:type="dxa" w:w="1701"/>
          </w:tcPr>
          <w:p>
            <w:r>
              <w:rPr>
                <w:b/>
                <w:i w:val="0"/>
                <w:sz w:val="18"/>
              </w:rPr>
              <w:t>OA 1</w:t>
            </w:r>
          </w:p>
          <w:p>
            <w:r>
              <w:rPr>
                <w:b w:val="0"/>
                <w:i w:val="0"/>
                <w:color w:val="595959"/>
                <w:sz w:val="14"/>
              </w:rPr>
              <w:t>(B 50 · P 54)</w:t>
            </w:r>
          </w:p>
        </w:tc>
        <w:tc>
          <w:tcPr>
            <w:tcW w:type="dxa" w:w="14967"/>
          </w:tcPr>
          <w:p>
            <w:r>
              <w:rPr>
                <w:b w:val="0"/>
                <w:i w:val="0"/>
                <w:sz w:val="18"/>
              </w:rPr>
              <w:t>Leer habitualmente para aprender y recrearse, y seleccionar textos de acuerdo con sus preferencias y propósitos.</w:t>
            </w:r>
          </w:p>
        </w:tc>
      </w:tr>
      <w:tr>
        <w:trPr>
          <w:cantSplit/>
        </w:trPr>
        <w:tc>
          <w:tcPr>
            <w:tcW w:type="dxa" w:w="1701"/>
          </w:tcPr>
          <w:p>
            <w:r>
              <w:rPr>
                <w:b/>
                <w:i w:val="0"/>
                <w:sz w:val="18"/>
              </w:rPr>
              <w:t>OA 2</w:t>
            </w:r>
          </w:p>
          <w:p>
            <w:r>
              <w:rPr>
                <w:b w:val="0"/>
                <w:i w:val="0"/>
                <w:color w:val="595959"/>
                <w:sz w:val="14"/>
              </w:rPr>
              <w:t>(B 50 · P 54)</w:t>
            </w:r>
          </w:p>
        </w:tc>
        <w:tc>
          <w:tcPr>
            <w:tcW w:type="dxa" w:w="14967"/>
          </w:tcPr>
          <w:p>
            <w:r>
              <w:rPr>
                <w:b w:val="0"/>
                <w:i w:val="0"/>
                <w:sz w:val="18"/>
              </w:rPr>
              <w:t>Reflexionar sobre las diferentes dimensiones de la experiencia humana, propia y ajena, a partir de la lectura de obras literarias y otros textos que forman parte de nuestras herencias culturales, abordando los temas estipulados para el curso y las obras sugeridas para cada uno.</w:t>
            </w:r>
          </w:p>
        </w:tc>
      </w:tr>
      <w:tr>
        <w:trPr>
          <w:cantSplit/>
        </w:trPr>
        <w:tc>
          <w:tcPr>
            <w:tcW w:type="dxa" w:w="1701"/>
          </w:tcPr>
          <w:p>
            <w:r>
              <w:rPr>
                <w:b/>
                <w:i w:val="0"/>
                <w:sz w:val="18"/>
              </w:rPr>
              <w:t>OA 3</w:t>
            </w:r>
          </w:p>
          <w:p>
            <w:r>
              <w:rPr>
                <w:b w:val="0"/>
                <w:i w:val="0"/>
                <w:color w:val="595959"/>
                <w:sz w:val="14"/>
              </w:rPr>
              <w:t>(B 50 · P 54)</w:t>
            </w:r>
          </w:p>
        </w:tc>
        <w:tc>
          <w:tcPr>
            <w:tcW w:type="dxa" w:w="14967"/>
          </w:tcPr>
          <w:p>
            <w:r>
              <w:rPr>
                <w:b w:val="0"/>
                <w:i w:val="0"/>
                <w:sz w:val="18"/>
              </w:rPr>
              <w:t>Analizar las narraciones leídas para enriquecer su comprensión, considerando, cuando sea pertinente:</w:t>
            </w:r>
          </w:p>
          <w:p>
            <w:pPr>
              <w:pStyle w:val="ListBullet"/>
              <w:spacing w:after="20"/>
              <w:ind w:left="198" w:hanging="170"/>
            </w:pPr>
            <w:r>
              <w:rPr>
                <w:b w:val="0"/>
                <w:i w:val="0"/>
                <w:sz w:val="18"/>
              </w:rPr>
              <w:t>El o los conflictos de la historia.</w:t>
            </w:r>
          </w:p>
          <w:p>
            <w:pPr>
              <w:pStyle w:val="ListBullet"/>
              <w:spacing w:after="20"/>
              <w:ind w:left="198" w:hanging="170"/>
            </w:pPr>
            <w:r>
              <w:rPr>
                <w:b w:val="0"/>
                <w:i w:val="0"/>
                <w:sz w:val="18"/>
              </w:rPr>
              <w:t>El papel que juega cada personaje en el conflicto y cómo sus acciones afectan a otros personajes.</w:t>
            </w:r>
          </w:p>
          <w:p>
            <w:pPr>
              <w:pStyle w:val="ListBullet"/>
              <w:spacing w:after="20"/>
              <w:ind w:left="198" w:hanging="170"/>
            </w:pPr>
            <w:r>
              <w:rPr>
                <w:b w:val="0"/>
                <w:i w:val="0"/>
                <w:sz w:val="18"/>
              </w:rPr>
              <w:t>El efecto de ciertas acciones en el desarrollo de la historia.</w:t>
            </w:r>
          </w:p>
          <w:p>
            <w:pPr>
              <w:pStyle w:val="ListBullet"/>
              <w:spacing w:after="20"/>
              <w:ind w:left="198" w:hanging="170"/>
            </w:pPr>
            <w:r>
              <w:rPr>
                <w:b w:val="0"/>
                <w:i w:val="0"/>
                <w:sz w:val="18"/>
              </w:rPr>
              <w:t>Cuándo habla el narrador y cuándo hablan los personajes.</w:t>
            </w:r>
          </w:p>
          <w:p>
            <w:pPr>
              <w:pStyle w:val="ListBullet"/>
              <w:spacing w:after="20"/>
              <w:ind w:left="198" w:hanging="170"/>
            </w:pPr>
            <w:r>
              <w:rPr>
                <w:b w:val="0"/>
                <w:i w:val="0"/>
                <w:sz w:val="18"/>
              </w:rPr>
              <w:t>La disposición temporal de los hechos.</w:t>
            </w:r>
          </w:p>
          <w:p>
            <w:pPr>
              <w:pStyle w:val="ListBullet"/>
              <w:spacing w:after="20"/>
              <w:ind w:left="198" w:hanging="170"/>
            </w:pPr>
            <w:r>
              <w:rPr>
                <w:b w:val="0"/>
                <w:i w:val="0"/>
                <w:sz w:val="18"/>
              </w:rPr>
              <w:t>Elementos en común con otros textos leídos en el año.</w:t>
            </w:r>
          </w:p>
        </w:tc>
      </w:tr>
      <w:tr>
        <w:trPr>
          <w:cantSplit/>
        </w:trPr>
        <w:tc>
          <w:tcPr>
            <w:tcW w:type="dxa" w:w="1701"/>
          </w:tcPr>
          <w:p>
            <w:r>
              <w:rPr>
                <w:b/>
                <w:i w:val="0"/>
                <w:sz w:val="18"/>
              </w:rPr>
              <w:t>OA 4</w:t>
            </w:r>
          </w:p>
          <w:p>
            <w:r>
              <w:rPr>
                <w:b w:val="0"/>
                <w:i w:val="0"/>
                <w:color w:val="595959"/>
                <w:sz w:val="14"/>
              </w:rPr>
              <w:t>(B 50 · P 54)</w:t>
            </w:r>
          </w:p>
        </w:tc>
        <w:tc>
          <w:tcPr>
            <w:tcW w:type="dxa" w:w="14967"/>
          </w:tcPr>
          <w:p>
            <w:r>
              <w:rPr>
                <w:b w:val="0"/>
                <w:i w:val="0"/>
                <w:sz w:val="18"/>
              </w:rPr>
              <w:t>Analizar los poemas leídos para enriquecer su comprensión, considerando, cuando sea pertinente:</w:t>
            </w:r>
          </w:p>
          <w:p>
            <w:pPr>
              <w:pStyle w:val="ListBullet"/>
              <w:spacing w:after="20"/>
              <w:ind w:left="198" w:hanging="170"/>
            </w:pPr>
            <w:r>
              <w:rPr>
                <w:b w:val="0"/>
                <w:i w:val="0"/>
                <w:sz w:val="18"/>
              </w:rPr>
              <w:t>Cómo el lenguaje poético que emplea el autor apela a los sentidos, sugiere estados de ánimo y crea imágenes.</w:t>
            </w:r>
          </w:p>
          <w:p>
            <w:pPr>
              <w:pStyle w:val="ListBullet"/>
              <w:spacing w:after="20"/>
              <w:ind w:left="198" w:hanging="170"/>
            </w:pPr>
            <w:r>
              <w:rPr>
                <w:b w:val="0"/>
                <w:i w:val="0"/>
                <w:sz w:val="18"/>
              </w:rPr>
              <w:t>El significado o el efecto que produce el uso de lenguaje figurado en el poema.</w:t>
            </w:r>
          </w:p>
          <w:p>
            <w:pPr>
              <w:pStyle w:val="ListBullet"/>
              <w:spacing w:after="20"/>
              <w:ind w:left="198" w:hanging="170"/>
            </w:pPr>
            <w:r>
              <w:rPr>
                <w:b w:val="0"/>
                <w:i w:val="0"/>
                <w:sz w:val="18"/>
              </w:rPr>
              <w:t>El efecto que produce el ritmo y la sonoridad del poema al leerlo en voz alta.</w:t>
            </w:r>
          </w:p>
          <w:p>
            <w:pPr>
              <w:pStyle w:val="ListBullet"/>
              <w:spacing w:after="20"/>
              <w:ind w:left="198" w:hanging="170"/>
            </w:pPr>
            <w:r>
              <w:rPr>
                <w:b w:val="0"/>
                <w:i w:val="0"/>
                <w:sz w:val="18"/>
              </w:rPr>
              <w:t>Elementos en común con otros textos leídos en el año.</w:t>
            </w:r>
          </w:p>
        </w:tc>
      </w:tr>
      <w:tr>
        <w:trPr>
          <w:cantSplit/>
        </w:trPr>
        <w:tc>
          <w:tcPr>
            <w:tcW w:type="dxa" w:w="1701"/>
          </w:tcPr>
          <w:p>
            <w:r>
              <w:rPr>
                <w:b/>
                <w:i w:val="0"/>
                <w:sz w:val="18"/>
              </w:rPr>
              <w:t>OA 5</w:t>
            </w:r>
          </w:p>
          <w:p>
            <w:r>
              <w:rPr>
                <w:b w:val="0"/>
                <w:i w:val="0"/>
                <w:color w:val="595959"/>
                <w:sz w:val="14"/>
              </w:rPr>
              <w:t>(B 50 · P 54)</w:t>
            </w:r>
          </w:p>
        </w:tc>
        <w:tc>
          <w:tcPr>
            <w:tcW w:type="dxa" w:w="14967"/>
          </w:tcPr>
          <w:p>
            <w:r>
              <w:rPr>
                <w:b w:val="0"/>
                <w:i w:val="0"/>
                <w:sz w:val="18"/>
              </w:rPr>
              <w:t>Leer y comprender romances y obras de la poesía popular, considerando sus características y el contexto en el que se enmarcan.</w:t>
            </w:r>
          </w:p>
        </w:tc>
      </w:tr>
      <w:tr>
        <w:trPr>
          <w:cantSplit/>
        </w:trPr>
        <w:tc>
          <w:tcPr>
            <w:tcW w:type="dxa" w:w="1701"/>
          </w:tcPr>
          <w:p>
            <w:r>
              <w:rPr>
                <w:b/>
                <w:i w:val="0"/>
                <w:sz w:val="18"/>
              </w:rPr>
              <w:t>OA 6</w:t>
            </w:r>
          </w:p>
          <w:p>
            <w:r>
              <w:rPr>
                <w:b w:val="0"/>
                <w:i w:val="0"/>
                <w:color w:val="595959"/>
                <w:sz w:val="14"/>
              </w:rPr>
              <w:t>(B 50 · P 55)</w:t>
            </w:r>
          </w:p>
        </w:tc>
        <w:tc>
          <w:tcPr>
            <w:tcW w:type="dxa" w:w="14967"/>
          </w:tcPr>
          <w:p>
            <w:r>
              <w:rPr>
                <w:b w:val="0"/>
                <w:i w:val="0"/>
                <w:sz w:val="18"/>
              </w:rPr>
              <w:t>Leer y comprender relatos mitológicos, considerando sus características y el contexto en el que se enmarcan.</w:t>
            </w:r>
          </w:p>
        </w:tc>
      </w:tr>
      <w:tr>
        <w:trPr>
          <w:cantSplit/>
        </w:trPr>
        <w:tc>
          <w:tcPr>
            <w:tcW w:type="dxa" w:w="1701"/>
          </w:tcPr>
          <w:p>
            <w:r>
              <w:rPr>
                <w:b/>
                <w:i w:val="0"/>
                <w:sz w:val="18"/>
              </w:rPr>
              <w:t>OA 7</w:t>
            </w:r>
          </w:p>
          <w:p>
            <w:r>
              <w:rPr>
                <w:b w:val="0"/>
                <w:i w:val="0"/>
                <w:color w:val="595959"/>
                <w:sz w:val="14"/>
              </w:rPr>
              <w:t>(B 50 · P 55)</w:t>
            </w:r>
          </w:p>
        </w:tc>
        <w:tc>
          <w:tcPr>
            <w:tcW w:type="dxa" w:w="14967"/>
          </w:tcPr>
          <w:p>
            <w:r>
              <w:rPr>
                <w:b w:val="0"/>
                <w:i w:val="0"/>
                <w:sz w:val="18"/>
              </w:rPr>
              <w:t>Formular una interpretación de los textos literarios, considerando:</w:t>
            </w:r>
          </w:p>
          <w:p>
            <w:pPr>
              <w:pStyle w:val="ListBullet"/>
              <w:spacing w:after="20"/>
              <w:ind w:left="198" w:hanging="170"/>
            </w:pPr>
            <w:r>
              <w:rPr>
                <w:b w:val="0"/>
                <w:i w:val="0"/>
                <w:sz w:val="18"/>
              </w:rPr>
              <w:t>Su experiencia personal y sus conocimientos.</w:t>
            </w:r>
          </w:p>
          <w:p>
            <w:pPr>
              <w:pStyle w:val="ListBullet"/>
              <w:spacing w:after="20"/>
              <w:ind w:left="198" w:hanging="170"/>
            </w:pPr>
            <w:r>
              <w:rPr>
                <w:b w:val="0"/>
                <w:i w:val="0"/>
                <w:sz w:val="18"/>
              </w:rPr>
              <w:t>Un dilema presentado en el texto y su postura personal acerca del mismo.</w:t>
            </w:r>
          </w:p>
          <w:p>
            <w:pPr>
              <w:pStyle w:val="ListBullet"/>
              <w:spacing w:after="20"/>
              <w:ind w:left="198" w:hanging="170"/>
            </w:pPr>
            <w:r>
              <w:rPr>
                <w:b w:val="0"/>
                <w:i w:val="0"/>
                <w:sz w:val="18"/>
              </w:rPr>
              <w:t>La relación de la obra con la visión de mundo y el contexto histórico en el que se ambienta y/o en el que fue creada.</w:t>
            </w:r>
          </w:p>
        </w:tc>
      </w:tr>
      <w:tr>
        <w:trPr>
          <w:cantSplit/>
        </w:trPr>
        <w:tc>
          <w:tcPr>
            <w:tcW w:type="dxa" w:w="1701"/>
          </w:tcPr>
          <w:p>
            <w:r>
              <w:rPr>
                <w:b/>
                <w:i w:val="0"/>
                <w:sz w:val="18"/>
              </w:rPr>
              <w:t>OA 8</w:t>
            </w:r>
          </w:p>
          <w:p>
            <w:r>
              <w:rPr>
                <w:b w:val="0"/>
                <w:i w:val="0"/>
                <w:color w:val="595959"/>
                <w:sz w:val="14"/>
              </w:rPr>
              <w:t>(B 51 · P 55)</w:t>
            </w:r>
          </w:p>
        </w:tc>
        <w:tc>
          <w:tcPr>
            <w:tcW w:type="dxa" w:w="14967"/>
          </w:tcPr>
          <w:p>
            <w:r>
              <w:rPr>
                <w:b w:val="0"/>
                <w:i w:val="0"/>
                <w:sz w:val="18"/>
              </w:rPr>
              <w:t>Analizar y evaluar textos con finalidad argumentativa, como columnas de opinión, cartas y discursos, considerando:</w:t>
            </w:r>
          </w:p>
          <w:p>
            <w:pPr>
              <w:pStyle w:val="ListBullet"/>
              <w:spacing w:after="20"/>
              <w:ind w:left="198" w:hanging="170"/>
            </w:pPr>
            <w:r>
              <w:rPr>
                <w:b w:val="0"/>
                <w:i w:val="0"/>
                <w:sz w:val="18"/>
              </w:rPr>
              <w:t>La postura del autor y los argumentos e información que la sostienen.</w:t>
            </w:r>
          </w:p>
          <w:p>
            <w:pPr>
              <w:pStyle w:val="ListBullet"/>
              <w:spacing w:after="20"/>
              <w:ind w:left="198" w:hanging="170"/>
            </w:pPr>
            <w:r>
              <w:rPr>
                <w:b w:val="0"/>
                <w:i w:val="0"/>
                <w:sz w:val="18"/>
              </w:rPr>
              <w:t>La diferencia entre hecho y opinión.</w:t>
            </w:r>
          </w:p>
          <w:p>
            <w:pPr>
              <w:pStyle w:val="ListBullet"/>
              <w:spacing w:after="20"/>
              <w:ind w:left="198" w:hanging="170"/>
            </w:pPr>
            <w:r>
              <w:rPr>
                <w:b w:val="0"/>
                <w:i w:val="0"/>
                <w:sz w:val="18"/>
              </w:rPr>
              <w:t>Su postura personal frente a lo leído y argumentos que la sustentan.</w:t>
            </w:r>
          </w:p>
        </w:tc>
      </w:tr>
      <w:tr>
        <w:trPr>
          <w:cantSplit/>
        </w:trPr>
        <w:tc>
          <w:tcPr>
            <w:tcW w:type="dxa" w:w="1701"/>
          </w:tcPr>
          <w:p>
            <w:r>
              <w:rPr>
                <w:b/>
                <w:i w:val="0"/>
                <w:sz w:val="18"/>
              </w:rPr>
              <w:t>OA 9</w:t>
            </w:r>
          </w:p>
          <w:p>
            <w:r>
              <w:rPr>
                <w:b w:val="0"/>
                <w:i w:val="0"/>
                <w:color w:val="595959"/>
                <w:sz w:val="14"/>
              </w:rPr>
              <w:t>(B 51 · P 55)</w:t>
            </w:r>
          </w:p>
        </w:tc>
        <w:tc>
          <w:tcPr>
            <w:tcW w:type="dxa" w:w="14967"/>
          </w:tcPr>
          <w:p>
            <w:r>
              <w:rPr>
                <w:b w:val="0"/>
                <w:i w:val="0"/>
                <w:sz w:val="18"/>
              </w:rPr>
              <w:t>Analizar y evaluar textos de los medios de comunicación, como noticias, reportajes, cartas al director, textos publicitarios o de las redes sociales, considerando:</w:t>
            </w:r>
          </w:p>
          <w:p>
            <w:pPr>
              <w:pStyle w:val="ListBullet"/>
              <w:spacing w:after="20"/>
              <w:ind w:left="198" w:hanging="170"/>
            </w:pPr>
            <w:r>
              <w:rPr>
                <w:b w:val="0"/>
                <w:i w:val="0"/>
                <w:sz w:val="18"/>
              </w:rPr>
              <w:t>Los propósitos explícitos e implícitos del texto.</w:t>
            </w:r>
          </w:p>
          <w:p>
            <w:pPr>
              <w:pStyle w:val="ListBullet"/>
              <w:spacing w:after="20"/>
              <w:ind w:left="198" w:hanging="170"/>
            </w:pPr>
            <w:r>
              <w:rPr>
                <w:b w:val="0"/>
                <w:i w:val="0"/>
                <w:sz w:val="18"/>
              </w:rPr>
              <w:t>Una distinción entre los hechos y las opiniones expresados.</w:t>
            </w:r>
          </w:p>
          <w:p>
            <w:pPr>
              <w:pStyle w:val="ListBullet"/>
              <w:spacing w:after="20"/>
              <w:ind w:left="198" w:hanging="170"/>
            </w:pPr>
            <w:r>
              <w:rPr>
                <w:b w:val="0"/>
                <w:i w:val="0"/>
                <w:sz w:val="18"/>
              </w:rPr>
              <w:t>Presencia de estereotipos y prejuicios.</w:t>
            </w:r>
          </w:p>
          <w:p>
            <w:pPr>
              <w:pStyle w:val="ListBullet"/>
              <w:spacing w:after="20"/>
              <w:ind w:left="198" w:hanging="170"/>
            </w:pPr>
            <w:r>
              <w:rPr>
                <w:b w:val="0"/>
                <w:i w:val="0"/>
                <w:sz w:val="18"/>
              </w:rPr>
              <w:t>El análisis e interpretación de imágenes, gráficos, tablas, mapas o diagramas, y su relación con el texto en el que están insertos.</w:t>
            </w:r>
          </w:p>
          <w:p>
            <w:pPr>
              <w:pStyle w:val="ListBullet"/>
              <w:spacing w:after="20"/>
              <w:ind w:left="198" w:hanging="170"/>
            </w:pPr>
            <w:r>
              <w:rPr>
                <w:b w:val="0"/>
                <w:i w:val="0"/>
                <w:sz w:val="18"/>
              </w:rPr>
              <w:t>Los efectos que puede tener la información divulgada en los hombres o las mujeres aludidos en el texto.</w:t>
            </w:r>
          </w:p>
        </w:tc>
      </w:tr>
      <w:tr>
        <w:trPr>
          <w:cantSplit/>
        </w:trPr>
        <w:tc>
          <w:tcPr>
            <w:tcW w:type="dxa" w:w="1701"/>
          </w:tcPr>
          <w:p>
            <w:r>
              <w:rPr>
                <w:b/>
                <w:i w:val="0"/>
                <w:sz w:val="18"/>
              </w:rPr>
              <w:t>OA 10</w:t>
            </w:r>
          </w:p>
          <w:p>
            <w:r>
              <w:rPr>
                <w:b w:val="0"/>
                <w:i w:val="0"/>
                <w:color w:val="595959"/>
                <w:sz w:val="14"/>
              </w:rPr>
              <w:t>(B 51 · P 55)</w:t>
            </w:r>
          </w:p>
        </w:tc>
        <w:tc>
          <w:tcPr>
            <w:tcW w:type="dxa" w:w="14967"/>
          </w:tcPr>
          <w:p>
            <w:r>
              <w:rPr>
                <w:b w:val="0"/>
                <w:i w:val="0"/>
                <w:sz w:val="18"/>
              </w:rPr>
              <w:t>Leer y comprender textos no literarios para contextualizar y complementar las lecturas literarias realizadas en clases.</w:t>
            </w:r>
          </w:p>
        </w:tc>
      </w:tr>
      <w:tr>
        <w:trPr>
          <w:cantSplit/>
        </w:trPr>
        <w:tc>
          <w:tcPr>
            <w:tcW w:type="dxa" w:w="1701"/>
          </w:tcPr>
          <w:p>
            <w:r>
              <w:rPr>
                <w:b/>
                <w:i w:val="0"/>
                <w:sz w:val="18"/>
              </w:rPr>
              <w:t>OA 11</w:t>
            </w:r>
          </w:p>
          <w:p>
            <w:r>
              <w:rPr>
                <w:b w:val="0"/>
                <w:i w:val="0"/>
                <w:color w:val="595959"/>
                <w:sz w:val="14"/>
              </w:rPr>
              <w:t>(B 51 · P 55)</w:t>
            </w:r>
          </w:p>
        </w:tc>
        <w:tc>
          <w:tcPr>
            <w:tcW w:type="dxa" w:w="14967"/>
          </w:tcPr>
          <w:p>
            <w:r>
              <w:rPr>
                <w:b w:val="0"/>
                <w:i w:val="0"/>
                <w:sz w:val="18"/>
              </w:rPr>
              <w:t>Aplicar estrategias de comprensión de acuerdo con sus propósitos de lectura:</w:t>
            </w:r>
          </w:p>
          <w:p>
            <w:pPr>
              <w:pStyle w:val="ListBullet"/>
              <w:spacing w:after="20"/>
              <w:ind w:left="198" w:hanging="170"/>
            </w:pPr>
            <w:r>
              <w:rPr>
                <w:b w:val="0"/>
                <w:i w:val="0"/>
                <w:sz w:val="18"/>
              </w:rPr>
              <w:t>Resumir.</w:t>
            </w:r>
          </w:p>
          <w:p>
            <w:pPr>
              <w:pStyle w:val="ListBullet"/>
              <w:spacing w:after="20"/>
              <w:ind w:left="198" w:hanging="170"/>
            </w:pPr>
            <w:r>
              <w:rPr>
                <w:b w:val="0"/>
                <w:i w:val="0"/>
                <w:sz w:val="18"/>
              </w:rPr>
              <w:t>Formular preguntas.</w:t>
            </w:r>
          </w:p>
          <w:p>
            <w:pPr>
              <w:pStyle w:val="ListBullet"/>
              <w:spacing w:after="20"/>
              <w:ind w:left="198" w:hanging="170"/>
            </w:pPr>
            <w:r>
              <w:rPr>
                <w:b w:val="0"/>
                <w:i w:val="0"/>
                <w:sz w:val="18"/>
              </w:rPr>
              <w:t>Analizar los distintos tipos de relaciones que establecen las imágenes o el sonido con el texto escrito (en textos multimodales).</w:t>
            </w:r>
          </w:p>
          <w:p>
            <w:pPr>
              <w:pStyle w:val="ListBullet"/>
              <w:spacing w:after="20"/>
              <w:ind w:left="198" w:hanging="170"/>
            </w:pPr>
            <w:r>
              <w:rPr>
                <w:b w:val="0"/>
                <w:i w:val="0"/>
                <w:sz w:val="18"/>
              </w:rPr>
              <w:t>Identificar los elementos del texto que dificultan la comprensión (pérdida de los referentes, vocabulario desconocido, inconsistencias entre la información del texto y los propios conocimientos) y buscar soluciones.</w:t>
            </w:r>
          </w:p>
        </w:tc>
      </w:tr>
      <w:tr>
        <w:tc>
          <w:tcPr>
            <w:tcW w:type="dxa" w:w="16668"/>
            <w:gridSpan w:val="2"/>
          </w:tcPr>
          <w:p>
            <w:r/>
            <w:r>
              <w:rPr>
                <w:b/>
                <w:i w:val="0"/>
                <w:sz w:val="18"/>
              </w:rPr>
              <w:t>ESCRITURA</w:t>
            </w:r>
          </w:p>
        </w:tc>
      </w:tr>
      <w:tr>
        <w:trPr>
          <w:cantSplit/>
        </w:trPr>
        <w:tc>
          <w:tcPr>
            <w:tcW w:type="dxa" w:w="1701"/>
          </w:tcPr>
          <w:p>
            <w:r>
              <w:rPr>
                <w:b/>
                <w:i w:val="0"/>
                <w:sz w:val="18"/>
              </w:rPr>
              <w:t>OA 12</w:t>
            </w:r>
          </w:p>
          <w:p>
            <w:r>
              <w:rPr>
                <w:b w:val="0"/>
                <w:i w:val="0"/>
                <w:color w:val="595959"/>
                <w:sz w:val="14"/>
              </w:rPr>
              <w:t>(B 51 · P 55)</w:t>
            </w:r>
          </w:p>
        </w:tc>
        <w:tc>
          <w:tcPr>
            <w:tcW w:type="dxa" w:w="14967"/>
          </w:tcPr>
          <w:p>
            <w:r>
              <w:rPr>
                <w:b w:val="0"/>
                <w:i w:val="0"/>
                <w:sz w:val="18"/>
              </w:rPr>
              <w:t>Expresarse en forma creativa por medio de la escritura de textos de diversos géneros (por ejemplo, cuentos, crónicas, diarios de vida, cartas, poemas, etc.), escogiendo libremente:</w:t>
            </w:r>
          </w:p>
          <w:p>
            <w:pPr>
              <w:pStyle w:val="ListBullet"/>
              <w:spacing w:after="20"/>
              <w:ind w:left="198" w:hanging="170"/>
            </w:pPr>
            <w:r>
              <w:rPr>
                <w:b w:val="0"/>
                <w:i w:val="0"/>
                <w:sz w:val="18"/>
              </w:rPr>
              <w:t>El tema.</w:t>
            </w:r>
          </w:p>
          <w:p>
            <w:pPr>
              <w:pStyle w:val="ListBullet"/>
              <w:spacing w:after="20"/>
              <w:ind w:left="198" w:hanging="170"/>
            </w:pPr>
            <w:r>
              <w:rPr>
                <w:b w:val="0"/>
                <w:i w:val="0"/>
                <w:sz w:val="18"/>
              </w:rPr>
              <w:t>El género.</w:t>
            </w:r>
          </w:p>
          <w:p>
            <w:pPr>
              <w:pStyle w:val="ListBullet"/>
              <w:spacing w:after="20"/>
              <w:ind w:left="198" w:hanging="170"/>
            </w:pPr>
            <w:r>
              <w:rPr>
                <w:b w:val="0"/>
                <w:i w:val="0"/>
                <w:sz w:val="18"/>
              </w:rPr>
              <w:t>El destinatario.</w:t>
            </w:r>
          </w:p>
        </w:tc>
      </w:tr>
      <w:tr>
        <w:trPr>
          <w:cantSplit/>
        </w:trPr>
        <w:tc>
          <w:tcPr>
            <w:tcW w:type="dxa" w:w="1701"/>
          </w:tcPr>
          <w:p>
            <w:r>
              <w:rPr>
                <w:b/>
                <w:i w:val="0"/>
                <w:sz w:val="18"/>
              </w:rPr>
              <w:t>OA 13</w:t>
            </w:r>
          </w:p>
          <w:p>
            <w:r>
              <w:rPr>
                <w:b w:val="0"/>
                <w:i w:val="0"/>
                <w:color w:val="595959"/>
                <w:sz w:val="14"/>
              </w:rPr>
              <w:t>(B 52 · P 56)</w:t>
            </w:r>
          </w:p>
        </w:tc>
        <w:tc>
          <w:tcPr>
            <w:tcW w:type="dxa" w:w="14967"/>
          </w:tcPr>
          <w:p>
            <w:r>
              <w:rPr>
                <w:b w:val="0"/>
                <w:i w:val="0"/>
                <w:sz w:val="18"/>
              </w:rPr>
              <w:t>Escribir, con el propósito de explicar un tema, textos de diversos géneros (por ejemplo, artículos, informes, reportajes, etc.), caracterizados por:</w:t>
            </w:r>
          </w:p>
          <w:p>
            <w:pPr>
              <w:pStyle w:val="ListBullet"/>
              <w:spacing w:after="20"/>
              <w:ind w:left="198" w:hanging="170"/>
            </w:pPr>
            <w:r>
              <w:rPr>
                <w:b w:val="0"/>
                <w:i w:val="0"/>
                <w:sz w:val="18"/>
              </w:rPr>
              <w:t>Una presentación clara del tema.</w:t>
            </w:r>
          </w:p>
          <w:p>
            <w:pPr>
              <w:pStyle w:val="ListBullet"/>
              <w:spacing w:after="20"/>
              <w:ind w:left="198" w:hanging="170"/>
            </w:pPr>
            <w:r>
              <w:rPr>
                <w:b w:val="0"/>
                <w:i w:val="0"/>
                <w:sz w:val="18"/>
              </w:rPr>
              <w:t>La presencia de información de distintas fuentes.</w:t>
            </w:r>
          </w:p>
          <w:p>
            <w:pPr>
              <w:pStyle w:val="ListBullet"/>
              <w:spacing w:after="20"/>
              <w:ind w:left="198" w:hanging="170"/>
            </w:pPr>
            <w:r>
              <w:rPr>
                <w:b w:val="0"/>
                <w:i w:val="0"/>
                <w:sz w:val="18"/>
              </w:rPr>
              <w:t>La inclusión de hechos, descripciones, ejemplos o explicaciones que desarrollen el tema.</w:t>
            </w:r>
          </w:p>
          <w:p>
            <w:pPr>
              <w:pStyle w:val="ListBullet"/>
              <w:spacing w:after="20"/>
              <w:ind w:left="198" w:hanging="170"/>
            </w:pPr>
            <w:r>
              <w:rPr>
                <w:b w:val="0"/>
                <w:i w:val="0"/>
                <w:sz w:val="18"/>
              </w:rPr>
              <w:t>Una progresión temática clara, con especial atención al empleo de recursos anafóricos.</w:t>
            </w:r>
          </w:p>
          <w:p>
            <w:pPr>
              <w:pStyle w:val="ListBullet"/>
              <w:spacing w:after="20"/>
              <w:ind w:left="198" w:hanging="170"/>
            </w:pPr>
            <w:r>
              <w:rPr>
                <w:b w:val="0"/>
                <w:i w:val="0"/>
                <w:sz w:val="18"/>
              </w:rPr>
              <w:t>El uso de imágenes u otros recursos gráficos pertinentes.</w:t>
            </w:r>
          </w:p>
          <w:p>
            <w:pPr>
              <w:pStyle w:val="ListBullet"/>
              <w:spacing w:after="20"/>
              <w:ind w:left="198" w:hanging="170"/>
            </w:pPr>
            <w:r>
              <w:rPr>
                <w:b w:val="0"/>
                <w:i w:val="0"/>
                <w:sz w:val="18"/>
              </w:rPr>
              <w:t>Un cierre coherente con las características del género.</w:t>
            </w:r>
          </w:p>
          <w:p>
            <w:pPr>
              <w:pStyle w:val="ListBullet"/>
              <w:spacing w:after="20"/>
              <w:ind w:left="198" w:hanging="170"/>
            </w:pPr>
            <w:r>
              <w:rPr>
                <w:b w:val="0"/>
                <w:i w:val="0"/>
                <w:sz w:val="18"/>
              </w:rPr>
              <w:t>El uso de referencias según un formato previamente acordado.</w:t>
            </w:r>
          </w:p>
        </w:tc>
      </w:tr>
      <w:tr>
        <w:trPr>
          <w:cantSplit/>
        </w:trPr>
        <w:tc>
          <w:tcPr>
            <w:tcW w:type="dxa" w:w="1701"/>
          </w:tcPr>
          <w:p>
            <w:r>
              <w:rPr>
                <w:b/>
                <w:i w:val="0"/>
                <w:sz w:val="18"/>
              </w:rPr>
              <w:t>OA 14</w:t>
            </w:r>
          </w:p>
          <w:p>
            <w:r>
              <w:rPr>
                <w:b w:val="0"/>
                <w:i w:val="0"/>
                <w:color w:val="595959"/>
                <w:sz w:val="14"/>
              </w:rPr>
              <w:t>(B 52 · P 56)</w:t>
            </w:r>
          </w:p>
        </w:tc>
        <w:tc>
          <w:tcPr>
            <w:tcW w:type="dxa" w:w="14967"/>
          </w:tcPr>
          <w:p>
            <w:r>
              <w:rPr>
                <w:b w:val="0"/>
                <w:i w:val="0"/>
                <w:sz w:val="18"/>
              </w:rPr>
              <w:t>Escribir, con el propósito de persuadir, textos breves de diversos géneros (por ejemplo, cartas al director, editoriales, críticas literarias, etc.), caracterizados por:</w:t>
            </w:r>
          </w:p>
          <w:p>
            <w:pPr>
              <w:pStyle w:val="ListBullet"/>
              <w:spacing w:after="20"/>
              <w:ind w:left="198" w:hanging="170"/>
            </w:pPr>
            <w:r>
              <w:rPr>
                <w:b w:val="0"/>
                <w:i w:val="0"/>
                <w:sz w:val="18"/>
              </w:rPr>
              <w:t>La presentación de una afirmación referida a temas contingentes o literarios.</w:t>
            </w:r>
          </w:p>
          <w:p>
            <w:pPr>
              <w:pStyle w:val="ListBullet"/>
              <w:spacing w:after="20"/>
              <w:ind w:left="198" w:hanging="170"/>
            </w:pPr>
            <w:r>
              <w:rPr>
                <w:b w:val="0"/>
                <w:i w:val="0"/>
                <w:sz w:val="18"/>
              </w:rPr>
              <w:t>La presencia de evidencias e información pertinente.</w:t>
            </w:r>
          </w:p>
          <w:p>
            <w:pPr>
              <w:pStyle w:val="ListBullet"/>
              <w:spacing w:after="20"/>
              <w:ind w:left="198" w:hanging="170"/>
            </w:pPr>
            <w:r>
              <w:rPr>
                <w:b w:val="0"/>
                <w:i w:val="0"/>
                <w:sz w:val="18"/>
              </w:rPr>
              <w:t>La mantención de la coherencia temática.</w:t>
            </w:r>
          </w:p>
        </w:tc>
      </w:tr>
      <w:tr>
        <w:trPr>
          <w:cantSplit/>
        </w:trPr>
        <w:tc>
          <w:tcPr>
            <w:tcW w:type="dxa" w:w="1701"/>
          </w:tcPr>
          <w:p>
            <w:r>
              <w:rPr>
                <w:b/>
                <w:i w:val="0"/>
                <w:sz w:val="18"/>
              </w:rPr>
              <w:t>OA 15</w:t>
            </w:r>
          </w:p>
          <w:p>
            <w:r>
              <w:rPr>
                <w:b w:val="0"/>
                <w:i w:val="0"/>
                <w:color w:val="595959"/>
                <w:sz w:val="14"/>
              </w:rPr>
              <w:t>(B 52 · P 56)</w:t>
            </w:r>
          </w:p>
        </w:tc>
        <w:tc>
          <w:tcPr>
            <w:tcW w:type="dxa" w:w="14967"/>
          </w:tcPr>
          <w:p>
            <w:r>
              <w:rPr>
                <w:b w:val="0"/>
                <w:i w:val="0"/>
                <w:sz w:val="18"/>
              </w:rPr>
              <w:t>Planificar, escribir, revisar, reescribir y editar sus textos en función del contexto, el destinatario y el propósito:</w:t>
            </w:r>
          </w:p>
          <w:p>
            <w:pPr>
              <w:pStyle w:val="ListBullet"/>
              <w:spacing w:after="20"/>
              <w:ind w:left="198" w:hanging="170"/>
            </w:pPr>
            <w:r>
              <w:rPr>
                <w:b w:val="0"/>
                <w:i w:val="0"/>
                <w:sz w:val="18"/>
              </w:rPr>
              <w:t>Recopilando información e ideas y organizándolas antes de escribir.</w:t>
            </w:r>
          </w:p>
          <w:p>
            <w:pPr>
              <w:pStyle w:val="ListBullet"/>
              <w:spacing w:after="20"/>
              <w:ind w:left="198" w:hanging="170"/>
            </w:pPr>
            <w:r>
              <w:rPr>
                <w:b w:val="0"/>
                <w:i w:val="0"/>
                <w:sz w:val="18"/>
              </w:rPr>
              <w:t>Adecuando el registro, específicamente el vocabulario (uso de términos técnicos, frases hechas, palabras propias de las redes sociales, términos y expresiones propios del lenguaje hablado), el uso de la persona gramatical y la estructura del texto, al género discursivo, contexto y destinatario.</w:t>
            </w:r>
          </w:p>
          <w:p>
            <w:pPr>
              <w:pStyle w:val="ListBullet"/>
              <w:spacing w:after="20"/>
              <w:ind w:left="198" w:hanging="170"/>
            </w:pPr>
            <w:r>
              <w:rPr>
                <w:b w:val="0"/>
                <w:i w:val="0"/>
                <w:sz w:val="18"/>
              </w:rPr>
              <w:t>Incorporando información pertinente.</w:t>
            </w:r>
          </w:p>
          <w:p>
            <w:pPr>
              <w:pStyle w:val="ListBullet"/>
              <w:spacing w:after="20"/>
              <w:ind w:left="198" w:hanging="170"/>
            </w:pPr>
            <w:r>
              <w:rPr>
                <w:b w:val="0"/>
                <w:i w:val="0"/>
                <w:sz w:val="18"/>
              </w:rPr>
              <w:t>Asegurando la coherencia y la cohesión del texto.</w:t>
            </w:r>
          </w:p>
          <w:p>
            <w:pPr>
              <w:pStyle w:val="ListBullet"/>
              <w:spacing w:after="20"/>
              <w:ind w:left="198" w:hanging="170"/>
            </w:pPr>
            <w:r>
              <w:rPr>
                <w:b w:val="0"/>
                <w:i w:val="0"/>
                <w:sz w:val="18"/>
              </w:rPr>
              <w:t>Cuidando la organización a nivel oracional y textual.</w:t>
            </w:r>
          </w:p>
          <w:p>
            <w:pPr>
              <w:pStyle w:val="ListBullet"/>
              <w:spacing w:after="20"/>
              <w:ind w:left="198" w:hanging="170"/>
            </w:pPr>
            <w:r>
              <w:rPr>
                <w:b w:val="0"/>
                <w:i w:val="0"/>
                <w:sz w:val="18"/>
              </w:rPr>
              <w:t>Usando conectores adecuados para unir las secciones que componen el texto.</w:t>
            </w:r>
          </w:p>
          <w:p>
            <w:pPr>
              <w:pStyle w:val="ListBullet"/>
              <w:spacing w:after="20"/>
              <w:ind w:left="198" w:hanging="170"/>
            </w:pPr>
            <w:r>
              <w:rPr>
                <w:b w:val="0"/>
                <w:i w:val="0"/>
                <w:sz w:val="18"/>
              </w:rPr>
              <w:t>Usando un vocabulario variado y preciso.</w:t>
            </w:r>
          </w:p>
          <w:p>
            <w:pPr>
              <w:pStyle w:val="ListBullet"/>
              <w:spacing w:after="20"/>
              <w:ind w:left="198" w:hanging="170"/>
            </w:pPr>
            <w:r>
              <w:rPr>
                <w:b w:val="0"/>
                <w:i w:val="0"/>
                <w:sz w:val="18"/>
              </w:rPr>
              <w:t>Reconociendo y corrigiendo usos inadecuados, especialmente de pronombres personales y reflejos, conjugaciones verbales, participios irregulares, y concordancia sujeto–verbo, artículo–sustantivo y sustantivo–adjetivo.</w:t>
            </w:r>
          </w:p>
          <w:p>
            <w:pPr>
              <w:pStyle w:val="ListBullet"/>
              <w:spacing w:after="20"/>
              <w:ind w:left="198" w:hanging="170"/>
            </w:pPr>
            <w:r>
              <w:rPr>
                <w:b w:val="0"/>
                <w:i w:val="0"/>
                <w:sz w:val="18"/>
              </w:rPr>
              <w:t>Corrigiendo la ortografía y mejorando la presentación.</w:t>
            </w:r>
          </w:p>
          <w:p>
            <w:pPr>
              <w:pStyle w:val="ListBullet"/>
              <w:spacing w:after="20"/>
              <w:ind w:left="198" w:hanging="170"/>
            </w:pPr>
            <w:r>
              <w:rPr>
                <w:b w:val="0"/>
                <w:i w:val="0"/>
                <w:sz w:val="18"/>
              </w:rPr>
              <w:t>Usando eficazmente las herramientas del procesador de textos.</w:t>
            </w:r>
          </w:p>
        </w:tc>
      </w:tr>
      <w:tr>
        <w:trPr>
          <w:cantSplit/>
        </w:trPr>
        <w:tc>
          <w:tcPr>
            <w:tcW w:type="dxa" w:w="1701"/>
          </w:tcPr>
          <w:p>
            <w:r>
              <w:rPr>
                <w:b/>
                <w:i w:val="0"/>
                <w:sz w:val="18"/>
              </w:rPr>
              <w:t>OA 16</w:t>
            </w:r>
          </w:p>
          <w:p>
            <w:r>
              <w:rPr>
                <w:b w:val="0"/>
                <w:i w:val="0"/>
                <w:color w:val="595959"/>
                <w:sz w:val="14"/>
              </w:rPr>
              <w:t>(B 52 · P 56)</w:t>
            </w:r>
          </w:p>
        </w:tc>
        <w:tc>
          <w:tcPr>
            <w:tcW w:type="dxa" w:w="14967"/>
          </w:tcPr>
          <w:p>
            <w:r>
              <w:rPr>
                <w:b w:val="0"/>
                <w:i w:val="0"/>
                <w:sz w:val="18"/>
              </w:rPr>
              <w:t>Aplicar los conceptos de oración, sujeto y predicado con el fin de revisar y mejorar sus textos:</w:t>
            </w:r>
          </w:p>
          <w:p>
            <w:pPr>
              <w:pStyle w:val="ListBullet"/>
              <w:spacing w:after="20"/>
              <w:ind w:left="198" w:hanging="170"/>
            </w:pPr>
            <w:r>
              <w:rPr>
                <w:b w:val="0"/>
                <w:i w:val="0"/>
                <w:sz w:val="18"/>
              </w:rPr>
              <w:t>Produciendo consistentemente oraciones completas.</w:t>
            </w:r>
          </w:p>
          <w:p>
            <w:pPr>
              <w:pStyle w:val="ListBullet"/>
              <w:spacing w:after="20"/>
              <w:ind w:left="198" w:hanging="170"/>
            </w:pPr>
            <w:r>
              <w:rPr>
                <w:b w:val="0"/>
                <w:i w:val="0"/>
                <w:sz w:val="18"/>
              </w:rPr>
              <w:t>Conservando la concordancia entre sujeto y predicado.</w:t>
            </w:r>
          </w:p>
          <w:p>
            <w:pPr>
              <w:pStyle w:val="ListBullet"/>
              <w:spacing w:after="20"/>
              <w:ind w:left="198" w:hanging="170"/>
            </w:pPr>
            <w:r>
              <w:rPr>
                <w:b w:val="0"/>
                <w:i w:val="0"/>
                <w:sz w:val="18"/>
              </w:rPr>
              <w:t>Ubicando el sujeto, para determinar de qué o quién se habla.</w:t>
            </w:r>
          </w:p>
        </w:tc>
      </w:tr>
      <w:tr>
        <w:trPr>
          <w:cantSplit/>
        </w:trPr>
        <w:tc>
          <w:tcPr>
            <w:tcW w:type="dxa" w:w="1701"/>
          </w:tcPr>
          <w:p>
            <w:r>
              <w:rPr>
                <w:b/>
                <w:i w:val="0"/>
                <w:sz w:val="18"/>
              </w:rPr>
              <w:t>OA 17</w:t>
            </w:r>
          </w:p>
          <w:p>
            <w:r>
              <w:rPr>
                <w:b w:val="0"/>
                <w:i w:val="0"/>
                <w:color w:val="595959"/>
                <w:sz w:val="14"/>
              </w:rPr>
              <w:t>(B 52 · P 57)</w:t>
            </w:r>
          </w:p>
        </w:tc>
        <w:tc>
          <w:tcPr>
            <w:tcW w:type="dxa" w:w="14967"/>
          </w:tcPr>
          <w:p>
            <w:r>
              <w:rPr>
                <w:b w:val="0"/>
                <w:i w:val="0"/>
                <w:sz w:val="18"/>
              </w:rPr>
              <w:t>Usar en sus textos recursos de correferencia léxica:</w:t>
            </w:r>
          </w:p>
          <w:p>
            <w:pPr>
              <w:pStyle w:val="ListBullet"/>
              <w:spacing w:after="20"/>
              <w:ind w:left="198" w:hanging="170"/>
            </w:pPr>
            <w:r>
              <w:rPr>
                <w:b w:val="0"/>
                <w:i w:val="0"/>
                <w:sz w:val="18"/>
              </w:rPr>
              <w:t>Empleando adecuadamente la sustitución léxica, la sinonimia y la hiperonimia.</w:t>
            </w:r>
          </w:p>
          <w:p>
            <w:pPr>
              <w:pStyle w:val="ListBullet"/>
              <w:spacing w:after="20"/>
              <w:ind w:left="198" w:hanging="170"/>
            </w:pPr>
            <w:r>
              <w:rPr>
                <w:b w:val="0"/>
                <w:i w:val="0"/>
                <w:sz w:val="18"/>
              </w:rPr>
              <w:t>Reflexionando sobre las relaciones de sinonimia e hiperonimia y su papel en la redacción de textos cohesivos y coherentes.</w:t>
            </w:r>
          </w:p>
        </w:tc>
      </w:tr>
      <w:tr>
        <w:trPr>
          <w:cantSplit/>
        </w:trPr>
        <w:tc>
          <w:tcPr>
            <w:tcW w:type="dxa" w:w="1701"/>
          </w:tcPr>
          <w:p>
            <w:r>
              <w:rPr>
                <w:b/>
                <w:i w:val="0"/>
                <w:sz w:val="18"/>
              </w:rPr>
              <w:t>OA 18</w:t>
            </w:r>
          </w:p>
          <w:p>
            <w:r>
              <w:rPr>
                <w:b w:val="0"/>
                <w:i w:val="0"/>
                <w:color w:val="595959"/>
                <w:sz w:val="14"/>
              </w:rPr>
              <w:t>(B 53 · P 57)</w:t>
            </w:r>
          </w:p>
        </w:tc>
        <w:tc>
          <w:tcPr>
            <w:tcW w:type="dxa" w:w="14967"/>
          </w:tcPr>
          <w:p>
            <w:r>
              <w:rPr>
                <w:b w:val="0"/>
                <w:i w:val="0"/>
                <w:sz w:val="18"/>
              </w:rPr>
              <w:t>Utilizar adecuadamente, al narrar, los tiempos verbales del indicativo, manteniendo una adecuada secuencia de tiempos verbales.</w:t>
            </w:r>
          </w:p>
        </w:tc>
      </w:tr>
      <w:tr>
        <w:trPr>
          <w:cantSplit/>
        </w:trPr>
        <w:tc>
          <w:tcPr>
            <w:tcW w:type="dxa" w:w="1701"/>
          </w:tcPr>
          <w:p>
            <w:r>
              <w:rPr>
                <w:b/>
                <w:i w:val="0"/>
                <w:sz w:val="18"/>
              </w:rPr>
              <w:t>OA 19</w:t>
            </w:r>
          </w:p>
          <w:p>
            <w:r>
              <w:rPr>
                <w:b w:val="0"/>
                <w:i w:val="0"/>
                <w:color w:val="595959"/>
                <w:sz w:val="14"/>
              </w:rPr>
              <w:t>(B 53 · P 57)</w:t>
            </w:r>
          </w:p>
        </w:tc>
        <w:tc>
          <w:tcPr>
            <w:tcW w:type="dxa" w:w="14967"/>
          </w:tcPr>
          <w:p>
            <w:r>
              <w:rPr>
                <w:b w:val="0"/>
                <w:i w:val="0"/>
                <w:sz w:val="18"/>
              </w:rPr>
              <w:t>Escribir correctamente para facilitar la comprensión al lector:</w:t>
            </w:r>
          </w:p>
          <w:p>
            <w:pPr>
              <w:pStyle w:val="ListBullet"/>
              <w:spacing w:after="20"/>
              <w:ind w:left="198" w:hanging="170"/>
            </w:pPr>
            <w:r>
              <w:rPr>
                <w:b w:val="0"/>
                <w:i w:val="0"/>
                <w:sz w:val="18"/>
              </w:rPr>
              <w:t>Aplicando todas las reglas de ortografía literal y acentual.</w:t>
            </w:r>
          </w:p>
          <w:p>
            <w:pPr>
              <w:pStyle w:val="ListBullet"/>
              <w:spacing w:after="20"/>
              <w:ind w:left="198" w:hanging="170"/>
            </w:pPr>
            <w:r>
              <w:rPr>
                <w:b w:val="0"/>
                <w:i w:val="0"/>
                <w:sz w:val="18"/>
              </w:rPr>
              <w:t>Verificando la escritura de las palabras cuya ortografía no está sujeta a reglas.</w:t>
            </w:r>
          </w:p>
          <w:p>
            <w:pPr>
              <w:pStyle w:val="ListBullet"/>
              <w:spacing w:after="20"/>
              <w:ind w:left="198" w:hanging="170"/>
            </w:pPr>
            <w:r>
              <w:rPr>
                <w:b w:val="0"/>
                <w:i w:val="0"/>
                <w:sz w:val="18"/>
              </w:rPr>
              <w:t>Usando correctamente punto, coma, raya y dos puntos.</w:t>
            </w:r>
          </w:p>
        </w:tc>
      </w:tr>
      <w:tr>
        <w:tc>
          <w:tcPr>
            <w:tcW w:type="dxa" w:w="16668"/>
            <w:gridSpan w:val="2"/>
          </w:tcPr>
          <w:p>
            <w:r/>
            <w:r>
              <w:rPr>
                <w:b/>
                <w:i w:val="0"/>
                <w:sz w:val="18"/>
              </w:rPr>
              <w:t>COMUNICACIÓN ORAL</w:t>
            </w:r>
          </w:p>
        </w:tc>
      </w:tr>
      <w:tr>
        <w:trPr>
          <w:cantSplit/>
        </w:trPr>
        <w:tc>
          <w:tcPr>
            <w:tcW w:type="dxa" w:w="1701"/>
          </w:tcPr>
          <w:p>
            <w:r>
              <w:rPr>
                <w:b/>
                <w:i w:val="0"/>
                <w:sz w:val="18"/>
              </w:rPr>
              <w:t>OA 20</w:t>
            </w:r>
          </w:p>
          <w:p>
            <w:r>
              <w:rPr>
                <w:b w:val="0"/>
                <w:i w:val="0"/>
                <w:color w:val="595959"/>
                <w:sz w:val="14"/>
              </w:rPr>
              <w:t>(B 53 · P 57)</w:t>
            </w:r>
          </w:p>
        </w:tc>
        <w:tc>
          <w:tcPr>
            <w:tcW w:type="dxa" w:w="14967"/>
          </w:tcPr>
          <w:p>
            <w:r>
              <w:rPr>
                <w:b w:val="0"/>
                <w:i w:val="0"/>
                <w:sz w:val="18"/>
              </w:rPr>
              <w:t>Comprender, comparar y evaluar textos orales y audiovisuales tales como exposiciones, discursos, documentales, noticias, reportajes, etc., considerando:</w:t>
            </w:r>
          </w:p>
          <w:p>
            <w:pPr>
              <w:pStyle w:val="ListBullet"/>
              <w:spacing w:after="20"/>
              <w:ind w:left="198" w:hanging="170"/>
            </w:pPr>
            <w:r>
              <w:rPr>
                <w:b w:val="0"/>
                <w:i w:val="0"/>
                <w:sz w:val="18"/>
              </w:rPr>
              <w:t>Su postura personal frente a lo escuchado y argumentos que la sustenten.</w:t>
            </w:r>
          </w:p>
          <w:p>
            <w:pPr>
              <w:pStyle w:val="ListBullet"/>
              <w:spacing w:after="20"/>
              <w:ind w:left="198" w:hanging="170"/>
            </w:pPr>
            <w:r>
              <w:rPr>
                <w:b w:val="0"/>
                <w:i w:val="0"/>
                <w:sz w:val="18"/>
              </w:rPr>
              <w:t>Los temas, conceptos o hechos principales.</w:t>
            </w:r>
          </w:p>
          <w:p>
            <w:pPr>
              <w:pStyle w:val="ListBullet"/>
              <w:spacing w:after="20"/>
              <w:ind w:left="198" w:hanging="170"/>
            </w:pPr>
            <w:r>
              <w:rPr>
                <w:b w:val="0"/>
                <w:i w:val="0"/>
                <w:sz w:val="18"/>
              </w:rPr>
              <w:t>Una distinción entre los hechos y las opiniones expresados.</w:t>
            </w:r>
          </w:p>
          <w:p>
            <w:pPr>
              <w:pStyle w:val="ListBullet"/>
              <w:spacing w:after="20"/>
              <w:ind w:left="198" w:hanging="170"/>
            </w:pPr>
            <w:r>
              <w:rPr>
                <w:b w:val="0"/>
                <w:i w:val="0"/>
                <w:sz w:val="18"/>
              </w:rPr>
              <w:t>Diferentes puntos de vista expresados en los textos.</w:t>
            </w:r>
          </w:p>
          <w:p>
            <w:pPr>
              <w:pStyle w:val="ListBullet"/>
              <w:spacing w:after="20"/>
              <w:ind w:left="198" w:hanging="170"/>
            </w:pPr>
            <w:r>
              <w:rPr>
                <w:b w:val="0"/>
                <w:i w:val="0"/>
                <w:sz w:val="18"/>
              </w:rPr>
              <w:t>Las relaciones que se establecen entre imágenes, texto y sonido.</w:t>
            </w:r>
          </w:p>
          <w:p>
            <w:pPr>
              <w:pStyle w:val="ListBullet"/>
              <w:spacing w:after="20"/>
              <w:ind w:left="198" w:hanging="170"/>
            </w:pPr>
            <w:r>
              <w:rPr>
                <w:b w:val="0"/>
                <w:i w:val="0"/>
                <w:sz w:val="18"/>
              </w:rPr>
              <w:t>Relaciones entre lo escuchado y otras manifestaciones artísticas.</w:t>
            </w:r>
          </w:p>
          <w:p>
            <w:pPr>
              <w:pStyle w:val="ListBullet"/>
              <w:spacing w:after="20"/>
              <w:ind w:left="198" w:hanging="170"/>
            </w:pPr>
            <w:r>
              <w:rPr>
                <w:b w:val="0"/>
                <w:i w:val="0"/>
                <w:sz w:val="18"/>
              </w:rPr>
              <w:t>Relaciones entre lo escuchado y los temas y obras estudiados durante el curso.</w:t>
            </w:r>
          </w:p>
        </w:tc>
      </w:tr>
      <w:tr>
        <w:trPr>
          <w:cantSplit/>
        </w:trPr>
        <w:tc>
          <w:tcPr>
            <w:tcW w:type="dxa" w:w="1701"/>
          </w:tcPr>
          <w:p>
            <w:r>
              <w:rPr>
                <w:b/>
                <w:i w:val="0"/>
                <w:sz w:val="18"/>
              </w:rPr>
              <w:t>OA 21</w:t>
            </w:r>
          </w:p>
          <w:p>
            <w:r>
              <w:rPr>
                <w:b w:val="0"/>
                <w:i w:val="0"/>
                <w:color w:val="595959"/>
                <w:sz w:val="14"/>
              </w:rPr>
              <w:t>(B 53 · P 57)</w:t>
            </w:r>
          </w:p>
        </w:tc>
        <w:tc>
          <w:tcPr>
            <w:tcW w:type="dxa" w:w="14967"/>
          </w:tcPr>
          <w:p>
            <w:r>
              <w:rPr>
                <w:b w:val="0"/>
                <w:i w:val="0"/>
                <w:sz w:val="18"/>
              </w:rPr>
              <w:t>Dialogar constructivamente para debatir o explorar ideas:</w:t>
            </w:r>
          </w:p>
          <w:p>
            <w:pPr>
              <w:pStyle w:val="ListBullet"/>
              <w:spacing w:after="20"/>
              <w:ind w:left="198" w:hanging="170"/>
            </w:pPr>
            <w:r>
              <w:rPr>
                <w:b w:val="0"/>
                <w:i w:val="0"/>
                <w:sz w:val="18"/>
              </w:rPr>
              <w:t>Manteniendo el foco.</w:t>
            </w:r>
          </w:p>
          <w:p>
            <w:pPr>
              <w:pStyle w:val="ListBullet"/>
              <w:spacing w:after="20"/>
              <w:ind w:left="198" w:hanging="170"/>
            </w:pPr>
            <w:r>
              <w:rPr>
                <w:b w:val="0"/>
                <w:i w:val="0"/>
                <w:sz w:val="18"/>
              </w:rPr>
              <w:t>Demostrando comprensión de lo dicho por el interlocutor.</w:t>
            </w:r>
          </w:p>
          <w:p>
            <w:pPr>
              <w:pStyle w:val="ListBullet"/>
              <w:spacing w:after="20"/>
              <w:ind w:left="198" w:hanging="170"/>
            </w:pPr>
            <w:r>
              <w:rPr>
                <w:b w:val="0"/>
                <w:i w:val="0"/>
                <w:sz w:val="18"/>
              </w:rPr>
              <w:t>Fundamentando su postura de manera pertinente.</w:t>
            </w:r>
          </w:p>
          <w:p>
            <w:pPr>
              <w:pStyle w:val="ListBullet"/>
              <w:spacing w:after="20"/>
              <w:ind w:left="198" w:hanging="170"/>
            </w:pPr>
            <w:r>
              <w:rPr>
                <w:b w:val="0"/>
                <w:i w:val="0"/>
                <w:sz w:val="18"/>
              </w:rPr>
              <w:t>Formulando preguntas o comentarios que estimulen o hagan avanzar la discusión o profundicen un aspecto del tema.</w:t>
            </w:r>
          </w:p>
          <w:p>
            <w:pPr>
              <w:pStyle w:val="ListBullet"/>
              <w:spacing w:after="20"/>
              <w:ind w:left="198" w:hanging="170"/>
            </w:pPr>
            <w:r>
              <w:rPr>
                <w:b w:val="0"/>
                <w:i w:val="0"/>
                <w:sz w:val="18"/>
              </w:rPr>
              <w:t>Negociando acuerdos con los interlocutores.</w:t>
            </w:r>
          </w:p>
          <w:p>
            <w:pPr>
              <w:pStyle w:val="ListBullet"/>
              <w:spacing w:after="20"/>
              <w:ind w:left="198" w:hanging="170"/>
            </w:pPr>
            <w:r>
              <w:rPr>
                <w:b w:val="0"/>
                <w:i w:val="0"/>
                <w:sz w:val="18"/>
              </w:rPr>
              <w:t>Considerando al interlocutor para la toma de turnos.</w:t>
            </w:r>
          </w:p>
        </w:tc>
      </w:tr>
      <w:tr>
        <w:trPr>
          <w:cantSplit/>
        </w:trPr>
        <w:tc>
          <w:tcPr>
            <w:tcW w:type="dxa" w:w="1701"/>
          </w:tcPr>
          <w:p>
            <w:r>
              <w:rPr>
                <w:b/>
                <w:i w:val="0"/>
                <w:sz w:val="18"/>
              </w:rPr>
              <w:t>OA 22</w:t>
            </w:r>
          </w:p>
          <w:p>
            <w:r>
              <w:rPr>
                <w:b w:val="0"/>
                <w:i w:val="0"/>
                <w:color w:val="595959"/>
                <w:sz w:val="14"/>
              </w:rPr>
              <w:t>(B 53 · P 57)</w:t>
            </w:r>
          </w:p>
        </w:tc>
        <w:tc>
          <w:tcPr>
            <w:tcW w:type="dxa" w:w="14967"/>
          </w:tcPr>
          <w:p>
            <w:r>
              <w:rPr>
                <w:b w:val="0"/>
                <w:i w:val="0"/>
                <w:sz w:val="18"/>
              </w:rPr>
              <w:t>Expresarse frente a una audiencia de manera clara y adecuada a la situación, para comunicar temas de su interés:</w:t>
            </w:r>
          </w:p>
          <w:p>
            <w:pPr>
              <w:pStyle w:val="ListBullet"/>
              <w:spacing w:after="20"/>
              <w:ind w:left="198" w:hanging="170"/>
            </w:pPr>
            <w:r>
              <w:rPr>
                <w:b w:val="0"/>
                <w:i w:val="0"/>
                <w:sz w:val="18"/>
              </w:rPr>
              <w:t>Presentando información fidedigna y que denota una investigación previa.</w:t>
            </w:r>
          </w:p>
          <w:p>
            <w:pPr>
              <w:pStyle w:val="ListBullet"/>
              <w:spacing w:after="20"/>
              <w:ind w:left="198" w:hanging="170"/>
            </w:pPr>
            <w:r>
              <w:rPr>
                <w:b w:val="0"/>
                <w:i w:val="0"/>
                <w:sz w:val="18"/>
              </w:rPr>
              <w:t>Siguiendo una progresión temática clara.</w:t>
            </w:r>
          </w:p>
          <w:p>
            <w:pPr>
              <w:pStyle w:val="ListBullet"/>
              <w:spacing w:after="20"/>
              <w:ind w:left="198" w:hanging="170"/>
            </w:pPr>
            <w:r>
              <w:rPr>
                <w:b w:val="0"/>
                <w:i w:val="0"/>
                <w:sz w:val="18"/>
              </w:rPr>
              <w:t>Dando ejemplos y explicando algunos términos o conceptos clave para la comprensión de la información.</w:t>
            </w:r>
          </w:p>
          <w:p>
            <w:pPr>
              <w:pStyle w:val="ListBullet"/>
              <w:spacing w:after="20"/>
              <w:ind w:left="198" w:hanging="170"/>
            </w:pPr>
            <w:r>
              <w:rPr>
                <w:b w:val="0"/>
                <w:i w:val="0"/>
                <w:sz w:val="18"/>
              </w:rPr>
              <w:t>Usando un vocabulario variado y preciso y evitando el uso de muletillas.</w:t>
            </w:r>
          </w:p>
          <w:p>
            <w:pPr>
              <w:pStyle w:val="ListBullet"/>
              <w:spacing w:after="20"/>
              <w:ind w:left="198" w:hanging="170"/>
            </w:pPr>
            <w:r>
              <w:rPr>
                <w:b w:val="0"/>
                <w:i w:val="0"/>
                <w:sz w:val="18"/>
              </w:rPr>
              <w:t>Usando material visual que apoye lo dicho y se relacione directamente con lo que se explica.</w:t>
            </w:r>
          </w:p>
        </w:tc>
      </w:tr>
      <w:tr>
        <w:trPr>
          <w:cantSplit/>
        </w:trPr>
        <w:tc>
          <w:tcPr>
            <w:tcW w:type="dxa" w:w="1701"/>
          </w:tcPr>
          <w:p>
            <w:r>
              <w:rPr>
                <w:b/>
                <w:i w:val="0"/>
                <w:sz w:val="18"/>
              </w:rPr>
              <w:t>OA 23</w:t>
            </w:r>
          </w:p>
          <w:p>
            <w:r>
              <w:rPr>
                <w:b w:val="0"/>
                <w:i w:val="0"/>
                <w:color w:val="595959"/>
                <w:sz w:val="14"/>
              </w:rPr>
              <w:t>(B 53 · P 58)</w:t>
            </w:r>
          </w:p>
        </w:tc>
        <w:tc>
          <w:tcPr>
            <w:tcW w:type="dxa" w:w="14967"/>
          </w:tcPr>
          <w:p>
            <w:r>
              <w:rPr>
                <w:b w:val="0"/>
                <w:i w:val="0"/>
                <w:sz w:val="18"/>
              </w:rPr>
              <w:t>Usar conscientemente los elementos que influyen y configuran los textos orales:</w:t>
            </w:r>
          </w:p>
          <w:p>
            <w:pPr>
              <w:pStyle w:val="ListBullet"/>
              <w:spacing w:after="20"/>
              <w:ind w:left="198" w:hanging="170"/>
            </w:pPr>
            <w:r>
              <w:rPr>
                <w:b w:val="0"/>
                <w:i w:val="0"/>
                <w:sz w:val="18"/>
              </w:rPr>
              <w:t>Comparando textos orales y escritos para establecer las diferencias, considerando el contexto y el destinatario.</w:t>
            </w:r>
          </w:p>
          <w:p>
            <w:pPr>
              <w:pStyle w:val="ListBullet"/>
              <w:spacing w:after="20"/>
              <w:ind w:left="198" w:hanging="170"/>
            </w:pPr>
            <w:r>
              <w:rPr>
                <w:b w:val="0"/>
                <w:i w:val="0"/>
                <w:sz w:val="18"/>
              </w:rPr>
              <w:t>Demostrando dominio de los distintos registros y empleándolos adecuadamente según la situación.</w:t>
            </w:r>
          </w:p>
          <w:p>
            <w:pPr>
              <w:pStyle w:val="ListBullet"/>
              <w:spacing w:after="20"/>
              <w:ind w:left="198" w:hanging="170"/>
            </w:pPr>
            <w:r>
              <w:rPr>
                <w:b w:val="0"/>
                <w:i w:val="0"/>
                <w:sz w:val="18"/>
              </w:rPr>
              <w:t>Utilizando estrategias que permiten cuidar la relación con el otro, especialmente al mostrar desacuerdo.</w:t>
            </w:r>
          </w:p>
          <w:p>
            <w:pPr>
              <w:pStyle w:val="ListBullet"/>
              <w:spacing w:after="20"/>
              <w:ind w:left="198" w:hanging="170"/>
            </w:pPr>
            <w:r>
              <w:rPr>
                <w:b w:val="0"/>
                <w:i w:val="0"/>
                <w:sz w:val="18"/>
              </w:rPr>
              <w:t>Utilizando un volumen, una velocidad y una dicción adecuados al propósito y a la situación.</w:t>
            </w:r>
          </w:p>
        </w:tc>
      </w:tr>
      <w:tr>
        <w:tc>
          <w:tcPr>
            <w:tcW w:type="dxa" w:w="16668"/>
            <w:gridSpan w:val="2"/>
          </w:tcPr>
          <w:p>
            <w:r/>
            <w:r>
              <w:rPr>
                <w:b/>
                <w:i w:val="0"/>
                <w:sz w:val="18"/>
              </w:rPr>
              <w:t>INVESTIGACIÓN SOBRE LENGUA Y LITERATURA</w:t>
            </w:r>
          </w:p>
        </w:tc>
      </w:tr>
      <w:tr>
        <w:trPr>
          <w:cantSplit/>
        </w:trPr>
        <w:tc>
          <w:tcPr>
            <w:tcW w:type="dxa" w:w="1701"/>
          </w:tcPr>
          <w:p>
            <w:r>
              <w:rPr>
                <w:b/>
                <w:i w:val="0"/>
                <w:sz w:val="18"/>
              </w:rPr>
              <w:t>OA 24</w:t>
            </w:r>
          </w:p>
          <w:p>
            <w:r>
              <w:rPr>
                <w:b w:val="0"/>
                <w:i w:val="0"/>
                <w:color w:val="595959"/>
                <w:sz w:val="14"/>
              </w:rPr>
              <w:t>(B 54 · P 58)</w:t>
            </w:r>
          </w:p>
        </w:tc>
        <w:tc>
          <w:tcPr>
            <w:tcW w:type="dxa" w:w="14967"/>
          </w:tcPr>
          <w:p>
            <w:r>
              <w:rPr>
                <w:b w:val="0"/>
                <w:i w:val="0"/>
                <w:sz w:val="18"/>
              </w:rPr>
              <w:t>Realizar investigaciones sobre diversos temas para complementar sus lecturas o responder interrogantes relacionadas con el lenguaje y la literatura:</w:t>
            </w:r>
          </w:p>
          <w:p>
            <w:pPr>
              <w:pStyle w:val="ListBullet"/>
              <w:spacing w:after="20"/>
              <w:ind w:left="198" w:hanging="170"/>
            </w:pPr>
            <w:r>
              <w:rPr>
                <w:b w:val="0"/>
                <w:i w:val="0"/>
                <w:sz w:val="18"/>
              </w:rPr>
              <w:t>Delimitando el tema de investigación.</w:t>
            </w:r>
          </w:p>
          <w:p>
            <w:pPr>
              <w:pStyle w:val="ListBullet"/>
              <w:spacing w:after="20"/>
              <w:ind w:left="198" w:hanging="170"/>
            </w:pPr>
            <w:r>
              <w:rPr>
                <w:b w:val="0"/>
                <w:i w:val="0"/>
                <w:sz w:val="18"/>
              </w:rPr>
              <w:t>Utilizando los principales sistemas de búsqueda de textos en la biblioteca e internet.</w:t>
            </w:r>
          </w:p>
          <w:p>
            <w:pPr>
              <w:pStyle w:val="ListBullet"/>
              <w:spacing w:after="20"/>
              <w:ind w:left="198" w:hanging="170"/>
            </w:pPr>
            <w:r>
              <w:rPr>
                <w:b w:val="0"/>
                <w:i w:val="0"/>
                <w:sz w:val="18"/>
              </w:rPr>
              <w:t>Usando los organizadores y la estructura textual para encontrar información de manera eficiente.</w:t>
            </w:r>
          </w:p>
          <w:p>
            <w:pPr>
              <w:pStyle w:val="ListBullet"/>
              <w:spacing w:after="20"/>
              <w:ind w:left="198" w:hanging="170"/>
            </w:pPr>
            <w:r>
              <w:rPr>
                <w:b w:val="0"/>
                <w:i w:val="0"/>
                <w:sz w:val="18"/>
              </w:rPr>
              <w:t>Evaluando si los textos entregan suficiente información para responder una determinada pregunta o cumplir un propósito.</w:t>
            </w:r>
          </w:p>
          <w:p>
            <w:pPr>
              <w:pStyle w:val="ListBullet"/>
              <w:spacing w:after="20"/>
              <w:ind w:left="198" w:hanging="170"/>
            </w:pPr>
            <w:r>
              <w:rPr>
                <w:b w:val="0"/>
                <w:i w:val="0"/>
                <w:sz w:val="18"/>
              </w:rPr>
              <w:t>Organizando en categorías la información encontrada en las fuentes investigadas.</w:t>
            </w:r>
          </w:p>
          <w:p>
            <w:pPr>
              <w:pStyle w:val="ListBullet"/>
              <w:spacing w:after="20"/>
              <w:ind w:left="198" w:hanging="170"/>
            </w:pPr>
            <w:r>
              <w:rPr>
                <w:b w:val="0"/>
                <w:i w:val="0"/>
                <w:sz w:val="18"/>
              </w:rPr>
              <w:t>Registrando la información bibliográfica de las fuentes consultadas.</w:t>
            </w:r>
          </w:p>
          <w:p>
            <w:pPr>
              <w:pStyle w:val="ListBullet"/>
              <w:spacing w:after="20"/>
              <w:ind w:left="198" w:hanging="170"/>
            </w:pPr>
            <w:r>
              <w:rPr>
                <w:b w:val="0"/>
                <w:i w:val="0"/>
                <w:sz w:val="18"/>
              </w:rPr>
              <w:t>Elaborando un texto oral o escrito bien estructurado que comunique sus hallazgos.</w:t>
            </w:r>
          </w:p>
        </w:tc>
      </w:tr>
      <w:tr>
        <w:trPr>
          <w:cantSplit/>
        </w:trPr>
        <w:tc>
          <w:tcPr>
            <w:tcW w:type="dxa" w:w="1701"/>
          </w:tcPr>
          <w:p>
            <w:r>
              <w:rPr>
                <w:b/>
                <w:i w:val="0"/>
                <w:sz w:val="18"/>
              </w:rPr>
              <w:t>OA 25</w:t>
            </w:r>
          </w:p>
          <w:p>
            <w:r>
              <w:rPr>
                <w:b w:val="0"/>
                <w:i w:val="0"/>
                <w:color w:val="595959"/>
                <w:sz w:val="14"/>
              </w:rPr>
              <w:t>(B 54 · P 58)</w:t>
            </w:r>
          </w:p>
        </w:tc>
        <w:tc>
          <w:tcPr>
            <w:tcW w:type="dxa" w:w="14967"/>
          </w:tcPr>
          <w:p>
            <w:r>
              <w:rPr>
                <w:b w:val="0"/>
                <w:i w:val="0"/>
                <w:sz w:val="18"/>
              </w:rPr>
              <w:t>Sintetizar, registrar y ordenar las ideas principales de textos escuchados o leídos para satisfacer propósitos como estudiar, hacer una investigación, recordar detalles, etc.</w:t>
            </w:r>
          </w:p>
        </w:tc>
      </w:tr>
      <w:tr>
        <w:tc>
          <w:tcPr>
            <w:tcW w:type="dxa" w:w="16668"/>
            <w:gridSpan w:val="2"/>
          </w:tcPr>
          <w:p>
            <w:r/>
            <w:r>
              <w:rPr>
                <w:b/>
                <w:i w:val="0"/>
                <w:sz w:val="18"/>
              </w:rPr>
              <w:t>ACTITUDES</w:t>
            </w:r>
          </w:p>
        </w:tc>
      </w:tr>
      <w:tr>
        <w:trPr>
          <w:cantSplit/>
        </w:trPr>
        <w:tc>
          <w:tcPr>
            <w:tcW w:type="dxa" w:w="1701"/>
          </w:tcPr>
          <w:p>
            <w:r>
              <w:rPr>
                <w:b/>
                <w:i w:val="0"/>
                <w:sz w:val="18"/>
              </w:rPr>
              <w:t>OA A</w:t>
            </w:r>
          </w:p>
          <w:p>
            <w:r>
              <w:rPr>
                <w:b w:val="0"/>
                <w:i w:val="0"/>
                <w:color w:val="595959"/>
                <w:sz w:val="14"/>
              </w:rPr>
              <w:t>(P 59)</w:t>
            </w:r>
          </w:p>
        </w:tc>
        <w:tc>
          <w:tcPr>
            <w:tcW w:type="dxa" w:w="14967"/>
          </w:tcPr>
          <w:p>
            <w:r>
              <w:rPr>
                <w:b w:val="0"/>
                <w:i w:val="0"/>
                <w:sz w:val="18"/>
              </w:rPr>
              <w:t>Manifestar disposición a formarse un pensamiento propio, reflexivo e informado, mediante una lectura crítica y el diálogo con otros.</w:t>
            </w:r>
          </w:p>
        </w:tc>
      </w:tr>
      <w:tr>
        <w:trPr>
          <w:cantSplit/>
        </w:trPr>
        <w:tc>
          <w:tcPr>
            <w:tcW w:type="dxa" w:w="1701"/>
          </w:tcPr>
          <w:p>
            <w:r>
              <w:rPr>
                <w:b/>
                <w:i w:val="0"/>
                <w:sz w:val="18"/>
              </w:rPr>
              <w:t>OA B</w:t>
            </w:r>
          </w:p>
          <w:p>
            <w:r>
              <w:rPr>
                <w:b w:val="0"/>
                <w:i w:val="0"/>
                <w:color w:val="595959"/>
                <w:sz w:val="14"/>
              </w:rPr>
              <w:t>(P 59)</w:t>
            </w:r>
          </w:p>
        </w:tc>
        <w:tc>
          <w:tcPr>
            <w:tcW w:type="dxa" w:w="14967"/>
          </w:tcPr>
          <w:p>
            <w:r>
              <w:rPr>
                <w:b w:val="0"/>
                <w:i w:val="0"/>
                <w:sz w:val="18"/>
              </w:rPr>
              <w:t>Manifestar disposición a reflexionar sobre sí mismo y sobre las cuestiones sociales y éticas que emanan de las lecturas.</w:t>
            </w:r>
          </w:p>
        </w:tc>
      </w:tr>
      <w:tr>
        <w:trPr>
          <w:cantSplit/>
        </w:trPr>
        <w:tc>
          <w:tcPr>
            <w:tcW w:type="dxa" w:w="1701"/>
          </w:tcPr>
          <w:p>
            <w:r>
              <w:rPr>
                <w:b/>
                <w:i w:val="0"/>
                <w:sz w:val="18"/>
              </w:rPr>
              <w:t>OA C</w:t>
            </w:r>
          </w:p>
          <w:p>
            <w:r>
              <w:rPr>
                <w:b w:val="0"/>
                <w:i w:val="0"/>
                <w:color w:val="595959"/>
                <w:sz w:val="14"/>
              </w:rPr>
              <w:t>(P 60)</w:t>
            </w:r>
          </w:p>
        </w:tc>
        <w:tc>
          <w:tcPr>
            <w:tcW w:type="dxa" w:w="14967"/>
          </w:tcPr>
          <w:p>
            <w:r>
              <w:rPr>
                <w:b w:val="0"/>
                <w:i w:val="0"/>
                <w:sz w:val="18"/>
              </w:rPr>
              <w:t>Interesarse por comprender las experiencias e ideas de los demás, utilizando la lectura y el diálogo para el enriquecimiento personal y para la construcción de buenas relaciones con los demás.</w:t>
            </w:r>
          </w:p>
        </w:tc>
      </w:tr>
      <w:tr>
        <w:trPr>
          <w:cantSplit/>
        </w:trPr>
        <w:tc>
          <w:tcPr>
            <w:tcW w:type="dxa" w:w="1701"/>
          </w:tcPr>
          <w:p>
            <w:r>
              <w:rPr>
                <w:b/>
                <w:i w:val="0"/>
                <w:sz w:val="18"/>
              </w:rPr>
              <w:t>OA D</w:t>
            </w:r>
          </w:p>
          <w:p>
            <w:r>
              <w:rPr>
                <w:b w:val="0"/>
                <w:i w:val="0"/>
                <w:color w:val="595959"/>
                <w:sz w:val="14"/>
              </w:rPr>
              <w:t>(P 60)</w:t>
            </w:r>
          </w:p>
        </w:tc>
        <w:tc>
          <w:tcPr>
            <w:tcW w:type="dxa" w:w="14967"/>
          </w:tcPr>
          <w:p>
            <w:r>
              <w:rPr>
                <w:b w:val="0"/>
                <w:i w:val="0"/>
                <w:sz w:val="18"/>
              </w:rPr>
              <w:t>Valorar la diversidad de perspectivas, creencias y culturas, presentes en su entorno y el mundo, como manifestación de la libertad, creatividad y dignidad humana.</w:t>
            </w:r>
          </w:p>
        </w:tc>
      </w:tr>
      <w:tr>
        <w:trPr>
          <w:cantSplit/>
        </w:trPr>
        <w:tc>
          <w:tcPr>
            <w:tcW w:type="dxa" w:w="1701"/>
          </w:tcPr>
          <w:p>
            <w:r>
              <w:rPr>
                <w:b/>
                <w:i w:val="0"/>
                <w:sz w:val="18"/>
              </w:rPr>
              <w:t>OA E</w:t>
            </w:r>
          </w:p>
          <w:p>
            <w:r>
              <w:rPr>
                <w:b w:val="0"/>
                <w:i w:val="0"/>
                <w:color w:val="595959"/>
                <w:sz w:val="14"/>
              </w:rPr>
              <w:t>(P 60)</w:t>
            </w:r>
          </w:p>
        </w:tc>
        <w:tc>
          <w:tcPr>
            <w:tcW w:type="dxa" w:w="14967"/>
          </w:tcPr>
          <w:p>
            <w:r>
              <w:rPr>
                <w:b w:val="0"/>
                <w:i w:val="0"/>
                <w:sz w:val="18"/>
              </w:rPr>
              <w:t>Valorar las posibilidades que da el discurso hablado y escrito para participar de manera proactiva, informada y responsable en la vida de la sociedad democrática.</w:t>
            </w:r>
          </w:p>
        </w:tc>
      </w:tr>
      <w:tr>
        <w:trPr>
          <w:cantSplit/>
        </w:trPr>
        <w:tc>
          <w:tcPr>
            <w:tcW w:type="dxa" w:w="1701"/>
          </w:tcPr>
          <w:p>
            <w:r>
              <w:rPr>
                <w:b/>
                <w:i w:val="0"/>
                <w:sz w:val="18"/>
              </w:rPr>
              <w:t>OA F</w:t>
            </w:r>
          </w:p>
          <w:p>
            <w:r>
              <w:rPr>
                <w:b w:val="0"/>
                <w:i w:val="0"/>
                <w:color w:val="595959"/>
                <w:sz w:val="14"/>
              </w:rPr>
              <w:t>(P 60)</w:t>
            </w:r>
          </w:p>
        </w:tc>
        <w:tc>
          <w:tcPr>
            <w:tcW w:type="dxa" w:w="14967"/>
          </w:tcPr>
          <w:p>
            <w:r>
              <w:rPr>
                <w:b w:val="0"/>
                <w:i w:val="0"/>
                <w:sz w:val="18"/>
              </w:rPr>
              <w:t>Valorar la evidencia y la búsqueda de conocimientos que apoyen sus aseveraciones.</w:t>
            </w:r>
          </w:p>
        </w:tc>
      </w:tr>
      <w:tr>
        <w:trPr>
          <w:cantSplit/>
        </w:trPr>
        <w:tc>
          <w:tcPr>
            <w:tcW w:type="dxa" w:w="1701"/>
          </w:tcPr>
          <w:p>
            <w:r>
              <w:rPr>
                <w:b/>
                <w:i w:val="0"/>
                <w:sz w:val="18"/>
              </w:rPr>
              <w:t>OA G</w:t>
            </w:r>
          </w:p>
          <w:p>
            <w:r>
              <w:rPr>
                <w:b w:val="0"/>
                <w:i w:val="0"/>
                <w:color w:val="595959"/>
                <w:sz w:val="14"/>
              </w:rPr>
              <w:t>(P 61)</w:t>
            </w:r>
          </w:p>
        </w:tc>
        <w:tc>
          <w:tcPr>
            <w:tcW w:type="dxa" w:w="14967"/>
          </w:tcPr>
          <w:p>
            <w:r>
              <w:rPr>
                <w:b w:val="0"/>
                <w:i w:val="0"/>
                <w:sz w:val="18"/>
              </w:rPr>
              <w:t>Realizar tareas y trabajos de forma rigurosa y perseverante, entendiendo que los logros se obtienen solo después de un trabajo prolongado.</w:t>
            </w:r>
          </w:p>
        </w:tc>
      </w:tr>
      <w:tr>
        <w:trPr>
          <w:cantSplit/>
        </w:trPr>
        <w:tc>
          <w:tcPr>
            <w:tcW w:type="dxa" w:w="1701"/>
          </w:tcPr>
          <w:p>
            <w:r>
              <w:rPr>
                <w:b/>
                <w:i w:val="0"/>
                <w:sz w:val="18"/>
              </w:rPr>
              <w:t>OA H</w:t>
            </w:r>
          </w:p>
          <w:p>
            <w:r>
              <w:rPr>
                <w:b w:val="0"/>
                <w:i w:val="0"/>
                <w:color w:val="595959"/>
                <w:sz w:val="14"/>
              </w:rPr>
              <w:t>(P 61)</w:t>
            </w:r>
          </w:p>
        </w:tc>
        <w:tc>
          <w:tcPr>
            <w:tcW w:type="dxa" w:w="14967"/>
          </w:tcPr>
          <w:p>
            <w:r>
              <w:rPr>
                <w:b w:val="0"/>
                <w:i w:val="0"/>
                <w:sz w:val="18"/>
              </w:rPr>
              <w:t>Trabajar colaborativamente, usando de manera responsable las tecnologías de la comunicación, dando crédito al trabajo de otros y respetando la propiedad y la privacidad de las personas.</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Lengua y Literatura 7° básico, Mineduc (Decreto Exento N° 628/2016) y Bases Curriculares DS 614/2013 y DS 369/2015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Lengua y Literatura · 7° básico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Lengua y Literatura · 7° básico</dc:title>
  <dc:subject/>
  <dc:creator/>
  <cp:keywords/>
  <dc:description>Generado el 2026-10-23 desde programa_lengua_7basico.pdf (sha256 9a98c2c9627f) con plantilla_anual.md v1.0.</dc:description>
  <cp:lastModifiedBy/>
  <cp:revision>1</cp:revision>
  <dcterms:created xsi:type="dcterms:W3CDTF">2013-12-23T23:15:00Z</dcterms:created>
  <dcterms:modified xsi:type="dcterms:W3CDTF">2013-12-23T23:15:00Z</dcterms:modified>
  <cp:category/>
</cp:coreProperties>
</file>