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center"/>
      </w:pPr>
      <w:r>
        <w:rPr>
          <w:b/>
          <w:i w:val="0"/>
          <w:sz w:val="32"/>
        </w:rPr>
        <w:t>PLANIFICACIÓN ANUAL 2027</w:t>
      </w:r>
    </w:p>
    <w:p>
      <w:pPr>
        <w:spacing w:after="120"/>
        <w:jc w:val="center"/>
      </w:pPr>
      <w:r>
        <w:rPr>
          <w:b w:val="0"/>
          <w:i w:val="0"/>
          <w:color w:val="595959"/>
          <w:sz w:val="24"/>
        </w:rPr>
        <w:t>Lengua y Literatura · 8° básico</w:t>
      </w:r>
    </w:p>
    <w:p>
      <w:pPr>
        <w:pStyle w:val="Heading1"/>
      </w:pPr>
      <w:r>
        <w:t>A. Identificación</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814"/>
        <w:gridCol w:w="6520"/>
        <w:gridCol w:w="1814"/>
        <w:gridCol w:w="6520"/>
      </w:tblGrid>
      <w:tr>
        <w:tc>
          <w:tcPr>
            <w:tcW w:type="dxa" w:w="1814"/>
          </w:tcPr>
          <w:p>
            <w:r>
              <w:rPr>
                <w:b/>
                <w:i w:val="0"/>
                <w:sz w:val="18"/>
              </w:rPr>
              <w:t>Establecimiento</w:t>
            </w:r>
          </w:p>
        </w:tc>
        <w:tc>
          <w:tcPr>
            <w:tcW w:type="dxa" w:w="6520"/>
          </w:tcPr>
          <w:p>
            <w:r>
              <w:rPr>
                <w:b w:val="0"/>
                <w:i w:val="0"/>
                <w:color w:val="8C8C8C"/>
                <w:sz w:val="18"/>
              </w:rPr>
              <w:t>[Completar]</w:t>
            </w:r>
          </w:p>
        </w:tc>
        <w:tc>
          <w:tcPr>
            <w:tcW w:type="dxa" w:w="1814"/>
          </w:tcPr>
          <w:p>
            <w:r>
              <w:rPr>
                <w:b/>
                <w:i w:val="0"/>
                <w:sz w:val="18"/>
              </w:rPr>
              <w:t>Asignatura</w:t>
            </w:r>
          </w:p>
        </w:tc>
        <w:tc>
          <w:tcPr>
            <w:tcW w:type="dxa" w:w="6520"/>
          </w:tcPr>
          <w:p>
            <w:r>
              <w:rPr>
                <w:b w:val="0"/>
                <w:i w:val="0"/>
                <w:sz w:val="18"/>
              </w:rPr>
              <w:t>Lengua y Literatura</w:t>
            </w:r>
          </w:p>
        </w:tc>
      </w:tr>
      <w:tr>
        <w:tc>
          <w:tcPr>
            <w:tcW w:type="dxa" w:w="1814"/>
          </w:tcPr>
          <w:p>
            <w:r>
              <w:rPr>
                <w:b/>
                <w:i w:val="0"/>
                <w:sz w:val="18"/>
              </w:rPr>
              <w:t>RBD</w:t>
            </w:r>
          </w:p>
        </w:tc>
        <w:tc>
          <w:tcPr>
            <w:tcW w:type="dxa" w:w="6520"/>
          </w:tcPr>
          <w:p>
            <w:r>
              <w:rPr>
                <w:b w:val="0"/>
                <w:i w:val="0"/>
                <w:color w:val="8C8C8C"/>
                <w:sz w:val="18"/>
              </w:rPr>
              <w:t>[Completar]</w:t>
            </w:r>
          </w:p>
        </w:tc>
        <w:tc>
          <w:tcPr>
            <w:tcW w:type="dxa" w:w="1814"/>
          </w:tcPr>
          <w:p>
            <w:r>
              <w:rPr>
                <w:b/>
                <w:i w:val="0"/>
                <w:sz w:val="18"/>
              </w:rPr>
              <w:t>Curso</w:t>
            </w:r>
          </w:p>
        </w:tc>
        <w:tc>
          <w:tcPr>
            <w:tcW w:type="dxa" w:w="6520"/>
          </w:tcPr>
          <w:p>
            <w:r>
              <w:rPr>
                <w:b w:val="0"/>
                <w:i w:val="0"/>
                <w:color w:val="8C8C8C"/>
                <w:sz w:val="18"/>
              </w:rPr>
              <w:t>8° básico [Completar]</w:t>
            </w:r>
          </w:p>
        </w:tc>
      </w:tr>
      <w:tr>
        <w:tc>
          <w:tcPr>
            <w:tcW w:type="dxa" w:w="1814"/>
          </w:tcPr>
          <w:p>
            <w:r>
              <w:rPr>
                <w:b/>
                <w:i w:val="0"/>
                <w:sz w:val="18"/>
              </w:rPr>
              <w:t>Comuna / Región</w:t>
            </w:r>
          </w:p>
        </w:tc>
        <w:tc>
          <w:tcPr>
            <w:tcW w:type="dxa" w:w="6520"/>
          </w:tcPr>
          <w:p>
            <w:r>
              <w:rPr>
                <w:b w:val="0"/>
                <w:i w:val="0"/>
                <w:color w:val="8C8C8C"/>
                <w:sz w:val="18"/>
              </w:rPr>
              <w:t>[Completar], [Completar]</w:t>
            </w:r>
          </w:p>
        </w:tc>
        <w:tc>
          <w:tcPr>
            <w:tcW w:type="dxa" w:w="1814"/>
          </w:tcPr>
          <w:p>
            <w:r>
              <w:rPr>
                <w:b/>
                <w:i w:val="0"/>
                <w:sz w:val="18"/>
              </w:rPr>
              <w:t>Año escolar</w:t>
            </w:r>
          </w:p>
        </w:tc>
        <w:tc>
          <w:tcPr>
            <w:tcW w:type="dxa" w:w="6520"/>
          </w:tcPr>
          <w:p>
            <w:r>
              <w:rPr>
                <w:b w:val="0"/>
                <w:i w:val="0"/>
                <w:sz w:val="18"/>
              </w:rPr>
              <w:t>2027</w:t>
            </w:r>
          </w:p>
        </w:tc>
      </w:tr>
      <w:tr>
        <w:tc>
          <w:tcPr>
            <w:tcW w:type="dxa" w:w="1814"/>
          </w:tcPr>
          <w:p>
            <w:r>
              <w:rPr>
                <w:b/>
                <w:i w:val="0"/>
                <w:sz w:val="18"/>
              </w:rPr>
              <w:t>Docente</w:t>
            </w:r>
          </w:p>
        </w:tc>
        <w:tc>
          <w:tcPr>
            <w:tcW w:type="dxa" w:w="6520"/>
          </w:tcPr>
          <w:p>
            <w:r>
              <w:rPr>
                <w:b w:val="0"/>
                <w:i w:val="0"/>
                <w:color w:val="8C8C8C"/>
                <w:sz w:val="18"/>
              </w:rPr>
              <w:t>[Completar]</w:t>
            </w:r>
          </w:p>
        </w:tc>
        <w:tc>
          <w:tcPr>
            <w:tcW w:type="dxa" w:w="1814"/>
          </w:tcPr>
          <w:p>
            <w:r>
              <w:rPr>
                <w:b/>
                <w:i w:val="0"/>
                <w:sz w:val="18"/>
              </w:rPr>
              <w:t>Horas</w:t>
            </w:r>
          </w:p>
        </w:tc>
        <w:tc>
          <w:tcPr>
            <w:tcW w:type="dxa" w:w="6520"/>
          </w:tcPr>
          <w:p>
            <w:r>
              <w:rPr>
                <w:b w:val="0"/>
                <w:i w:val="0"/>
                <w:sz w:val="18"/>
              </w:rPr>
              <w:t>6 h pedagógicas semanales · 228 h anuales (38 semanas)</w:t>
            </w:r>
          </w:p>
        </w:tc>
      </w:tr>
      <w:tr>
        <w:tc>
          <w:tcPr>
            <w:tcW w:type="dxa" w:w="1814"/>
          </w:tcPr>
          <w:p>
            <w:r>
              <w:rPr>
                <w:b/>
                <w:i w:val="0"/>
                <w:sz w:val="18"/>
              </w:rPr>
              <w:t>Correo</w:t>
            </w:r>
          </w:p>
        </w:tc>
        <w:tc>
          <w:tcPr>
            <w:tcW w:type="dxa" w:w="6520"/>
          </w:tcPr>
          <w:p>
            <w:r>
              <w:rPr>
                <w:b w:val="0"/>
                <w:i w:val="0"/>
                <w:color w:val="8C8C8C"/>
                <w:sz w:val="18"/>
              </w:rPr>
              <w:t>[Completar]</w:t>
            </w:r>
          </w:p>
        </w:tc>
        <w:tc>
          <w:tcPr>
            <w:tcW w:type="dxa" w:w="1814"/>
          </w:tcPr>
          <w:p>
            <w:r>
              <w:rPr>
                <w:b/>
                <w:i w:val="0"/>
                <w:sz w:val="18"/>
              </w:rPr>
              <w:t>Marco curricular</w:t>
            </w:r>
          </w:p>
        </w:tc>
        <w:tc>
          <w:tcPr>
            <w:tcW w:type="dxa" w:w="6520"/>
          </w:tcPr>
          <w:p>
            <w:r>
              <w:rPr>
                <w:b w:val="0"/>
                <w:i w:val="0"/>
                <w:sz w:val="18"/>
              </w:rPr>
              <w:t>Bases Curriculares DS 614/2013 y DS 369/2015 · Programa de Estudio Decreto Exento N° 628/2016</w:t>
            </w:r>
          </w:p>
        </w:tc>
      </w:tr>
    </w:tbl>
    <w:p>
      <w:pPr>
        <w:pStyle w:val="Heading1"/>
      </w:pPr>
      <w:r>
        <w:t>B. Fundamentación</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3402"/>
        <w:gridCol w:w="13266"/>
      </w:tblGrid>
      <w:tr>
        <w:tc>
          <w:tcPr>
            <w:tcW w:type="dxa" w:w="3402"/>
          </w:tcPr>
          <w:p>
            <w:r>
              <w:rPr>
                <w:b/>
                <w:i w:val="0"/>
                <w:sz w:val="18"/>
              </w:rPr>
              <w:t>Propósito de la asignatura en el nivel</w:t>
            </w:r>
          </w:p>
        </w:tc>
        <w:tc>
          <w:tcPr>
            <w:tcW w:type="dxa" w:w="13266"/>
          </w:tcPr>
          <w:p>
            <w:r/>
            <w:r>
              <w:rPr>
                <w:b/>
                <w:i/>
                <w:color w:val="595959"/>
                <w:sz w:val="18"/>
              </w:rPr>
              <w:t xml:space="preserve">Sugerencia — revisar: </w:t>
            </w:r>
            <w:r>
              <w:rPr>
                <w:b w:val="0"/>
                <w:i/>
                <w:color w:val="595959"/>
                <w:sz w:val="18"/>
              </w:rPr>
              <w:t>En 8° básico, los estudiantes profundizan la lectura, el análisis y la escritura a partir de obras literarias y textos no literarios organizados en torno a temas (la epopeya, el amor, el misterio, la naturaleza, la comedia, lo descabellado y los medios de comunicación), para interpretar con fundamentos, argumentar por escrito y oralmente, e investigar sobre la lengua y la literatura.</w:t>
            </w:r>
          </w:p>
        </w:tc>
      </w:tr>
      <w:tr>
        <w:tc>
          <w:tcPr>
            <w:tcW w:type="dxa" w:w="3402"/>
          </w:tcPr>
          <w:p>
            <w:r>
              <w:rPr>
                <w:b/>
                <w:i w:val="0"/>
                <w:sz w:val="18"/>
              </w:rPr>
              <w:t>Vínculo con el PEI / sellos del establecimiento</w:t>
            </w:r>
          </w:p>
        </w:tc>
        <w:tc>
          <w:tcPr>
            <w:tcW w:type="dxa" w:w="13266"/>
          </w:tcPr>
          <w:p>
            <w:r>
              <w:rPr>
                <w:b w:val="0"/>
                <w:i/>
                <w:color w:val="8C8C8C"/>
                <w:sz w:val="18"/>
              </w:rPr>
              <w:t>Completar por el docente</w:t>
            </w:r>
          </w:p>
        </w:tc>
      </w:tr>
      <w:tr>
        <w:tc>
          <w:tcPr>
            <w:tcW w:type="dxa" w:w="3402"/>
          </w:tcPr>
          <w:p>
            <w:r>
              <w:rPr>
                <w:b/>
                <w:i w:val="0"/>
                <w:sz w:val="18"/>
              </w:rPr>
              <w:t>Diagnóstico del curso</w:t>
            </w:r>
          </w:p>
        </w:tc>
        <w:tc>
          <w:tcPr>
            <w:tcW w:type="dxa" w:w="13266"/>
          </w:tcPr>
          <w:p>
            <w:r>
              <w:rPr>
                <w:b w:val="0"/>
                <w:i/>
                <w:color w:val="8C8C8C"/>
                <w:sz w:val="18"/>
              </w:rPr>
              <w:t>Completar por el docente</w:t>
            </w:r>
          </w:p>
        </w:tc>
      </w:tr>
    </w:tbl>
    <w:p>
      <w:pPr>
        <w:pStyle w:val="Heading1"/>
      </w:pPr>
      <w:r>
        <w:t>C. Visión general del año</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01"/>
        <w:gridCol w:w="5102"/>
        <w:gridCol w:w="5329"/>
        <w:gridCol w:w="2268"/>
        <w:gridCol w:w="2268"/>
      </w:tblGrid>
      <w:tr>
        <w:trPr>
          <w:tblHeader w:val="true"/>
          <w:cantSplit/>
        </w:trPr>
        <w:tc>
          <w:tcPr>
            <w:tcW w:type="dxa" w:w="1701"/>
          </w:tcPr>
          <w:p>
            <w:pPr>
              <w:keepNext/>
            </w:pPr>
            <w:r/>
            <w:r>
              <w:rPr>
                <w:b/>
                <w:i w:val="0"/>
                <w:sz w:val="18"/>
              </w:rPr>
              <w:t>Semestre</w:t>
            </w:r>
          </w:p>
        </w:tc>
        <w:tc>
          <w:tcPr>
            <w:tcW w:type="dxa" w:w="5102"/>
          </w:tcPr>
          <w:p>
            <w:pPr>
              <w:keepNext/>
            </w:pPr>
            <w:r/>
            <w:r>
              <w:rPr>
                <w:b/>
                <w:i w:val="0"/>
                <w:sz w:val="18"/>
              </w:rPr>
              <w:t>Unidad</w:t>
            </w:r>
          </w:p>
        </w:tc>
        <w:tc>
          <w:tcPr>
            <w:tcW w:type="dxa" w:w="5329"/>
          </w:tcPr>
          <w:p>
            <w:pPr>
              <w:keepNext/>
            </w:pPr>
            <w:r/>
            <w:r>
              <w:rPr>
                <w:b/>
                <w:i w:val="0"/>
                <w:sz w:val="18"/>
              </w:rPr>
              <w:t>Período (sugerido)</w:t>
            </w:r>
          </w:p>
        </w:tc>
        <w:tc>
          <w:tcPr>
            <w:tcW w:type="dxa" w:w="2268"/>
          </w:tcPr>
          <w:p>
            <w:pPr>
              <w:keepNext/>
            </w:pPr>
            <w:r/>
            <w:r>
              <w:rPr>
                <w:b/>
                <w:i w:val="0"/>
                <w:sz w:val="18"/>
              </w:rPr>
              <w:t>Semanas aprox.</w:t>
            </w:r>
          </w:p>
        </w:tc>
        <w:tc>
          <w:tcPr>
            <w:tcW w:type="dxa" w:w="2268"/>
          </w:tcPr>
          <w:p>
            <w:pPr>
              <w:keepNext/>
            </w:pPr>
            <w:r/>
            <w:r>
              <w:rPr>
                <w:b/>
                <w:i w:val="0"/>
                <w:sz w:val="18"/>
              </w:rPr>
              <w:t>Horas pedagógicas</w:t>
            </w:r>
          </w:p>
        </w:tc>
      </w:tr>
      <w:tr>
        <w:trPr>
          <w:cantSplit/>
        </w:trPr>
        <w:tc>
          <w:tcPr>
            <w:tcW w:type="dxa" w:w="1701"/>
          </w:tcPr>
          <w:p>
            <w:pPr>
              <w:keepNext/>
            </w:pPr>
            <w:r>
              <w:rPr>
                <w:b w:val="0"/>
                <w:i w:val="0"/>
                <w:sz w:val="18"/>
              </w:rPr>
              <w:t>Semestre 1</w:t>
            </w:r>
          </w:p>
        </w:tc>
        <w:tc>
          <w:tcPr>
            <w:tcW w:type="dxa" w:w="5102"/>
          </w:tcPr>
          <w:p>
            <w:pPr>
              <w:keepNext/>
            </w:pPr>
            <w:r>
              <w:rPr>
                <w:b w:val="0"/>
                <w:i w:val="0"/>
                <w:sz w:val="18"/>
              </w:rPr>
              <w:t>Unidad 1: Epopeya</w:t>
            </w:r>
          </w:p>
        </w:tc>
        <w:tc>
          <w:tcPr>
            <w:tcW w:type="dxa" w:w="5329"/>
          </w:tcPr>
          <w:p>
            <w:pPr>
              <w:keepNext/>
            </w:pPr>
            <w:r>
              <w:rPr>
                <w:b w:val="0"/>
                <w:i w:val="0"/>
                <w:sz w:val="18"/>
              </w:rPr>
              <w:t>Semanas 1 a 5</w:t>
            </w:r>
          </w:p>
        </w:tc>
        <w:tc>
          <w:tcPr>
            <w:tcW w:type="dxa" w:w="2268"/>
          </w:tcPr>
          <w:p>
            <w:pPr>
              <w:keepNext/>
            </w:pPr>
            <w:r>
              <w:rPr>
                <w:b w:val="0"/>
                <w:i w:val="0"/>
                <w:sz w:val="18"/>
              </w:rPr>
              <w:t>≈ 6</w:t>
            </w:r>
          </w:p>
        </w:tc>
        <w:tc>
          <w:tcPr>
            <w:tcW w:type="dxa" w:w="2268"/>
          </w:tcPr>
          <w:p>
            <w:pPr>
              <w:keepNext/>
            </w:pPr>
            <w:r>
              <w:rPr>
                <w:b w:val="0"/>
                <w:i w:val="0"/>
                <w:sz w:val="18"/>
              </w:rPr>
              <w:t>36</w:t>
            </w:r>
          </w:p>
        </w:tc>
      </w:tr>
      <w:tr>
        <w:trPr>
          <w:cantSplit/>
        </w:trPr>
        <w:tc>
          <w:tcPr>
            <w:tcW w:type="dxa" w:w="1701"/>
          </w:tcPr>
          <w:p>
            <w:pPr>
              <w:keepNext/>
            </w:pPr>
            <w:r>
              <w:rPr>
                <w:b w:val="0"/>
                <w:i w:val="0"/>
                <w:sz w:val="18"/>
              </w:rPr>
              <w:t>Semestre 1</w:t>
            </w:r>
          </w:p>
        </w:tc>
        <w:tc>
          <w:tcPr>
            <w:tcW w:type="dxa" w:w="5102"/>
          </w:tcPr>
          <w:p>
            <w:pPr>
              <w:keepNext/>
            </w:pPr>
            <w:r>
              <w:rPr>
                <w:b w:val="0"/>
                <w:i w:val="0"/>
                <w:sz w:val="18"/>
              </w:rPr>
              <w:t>Unidad 2: Experiencias del amor</w:t>
            </w:r>
          </w:p>
        </w:tc>
        <w:tc>
          <w:tcPr>
            <w:tcW w:type="dxa" w:w="5329"/>
          </w:tcPr>
          <w:p>
            <w:pPr>
              <w:keepNext/>
            </w:pPr>
            <w:r>
              <w:rPr>
                <w:b w:val="0"/>
                <w:i w:val="0"/>
                <w:sz w:val="18"/>
              </w:rPr>
              <w:t>Semanas 6 a 10</w:t>
            </w:r>
          </w:p>
        </w:tc>
        <w:tc>
          <w:tcPr>
            <w:tcW w:type="dxa" w:w="2268"/>
          </w:tcPr>
          <w:p>
            <w:pPr>
              <w:keepNext/>
            </w:pPr>
            <w:r>
              <w:rPr>
                <w:b w:val="0"/>
                <w:i w:val="0"/>
                <w:sz w:val="18"/>
              </w:rPr>
              <w:t>≈ 6</w:t>
            </w:r>
          </w:p>
        </w:tc>
        <w:tc>
          <w:tcPr>
            <w:tcW w:type="dxa" w:w="2268"/>
          </w:tcPr>
          <w:p>
            <w:pPr>
              <w:keepNext/>
            </w:pPr>
            <w:r>
              <w:rPr>
                <w:b w:val="0"/>
                <w:i w:val="0"/>
                <w:sz w:val="18"/>
              </w:rPr>
              <w:t>36</w:t>
            </w:r>
          </w:p>
        </w:tc>
      </w:tr>
      <w:tr>
        <w:trPr>
          <w:cantSplit/>
        </w:trPr>
        <w:tc>
          <w:tcPr>
            <w:tcW w:type="dxa" w:w="1701"/>
          </w:tcPr>
          <w:p>
            <w:pPr>
              <w:keepNext/>
            </w:pPr>
            <w:r>
              <w:rPr>
                <w:b w:val="0"/>
                <w:i w:val="0"/>
                <w:sz w:val="18"/>
              </w:rPr>
              <w:t>Semestre 1</w:t>
            </w:r>
          </w:p>
        </w:tc>
        <w:tc>
          <w:tcPr>
            <w:tcW w:type="dxa" w:w="5102"/>
          </w:tcPr>
          <w:p>
            <w:pPr>
              <w:keepNext/>
            </w:pPr>
            <w:r>
              <w:rPr>
                <w:b w:val="0"/>
                <w:i w:val="0"/>
                <w:sz w:val="18"/>
              </w:rPr>
              <w:t>Unidad 3: Relatos de misterio</w:t>
            </w:r>
          </w:p>
        </w:tc>
        <w:tc>
          <w:tcPr>
            <w:tcW w:type="dxa" w:w="5329"/>
          </w:tcPr>
          <w:p>
            <w:pPr>
              <w:keepNext/>
            </w:pPr>
            <w:r>
              <w:rPr>
                <w:b w:val="0"/>
                <w:i w:val="0"/>
                <w:sz w:val="18"/>
              </w:rPr>
              <w:t>Semanas 11 a 14</w:t>
            </w:r>
          </w:p>
        </w:tc>
        <w:tc>
          <w:tcPr>
            <w:tcW w:type="dxa" w:w="2268"/>
          </w:tcPr>
          <w:p>
            <w:pPr>
              <w:keepNext/>
            </w:pPr>
            <w:r>
              <w:rPr>
                <w:b w:val="0"/>
                <w:i w:val="0"/>
                <w:sz w:val="18"/>
              </w:rPr>
              <w:t>≈ 5</w:t>
            </w:r>
          </w:p>
        </w:tc>
        <w:tc>
          <w:tcPr>
            <w:tcW w:type="dxa" w:w="2268"/>
          </w:tcPr>
          <w:p>
            <w:pPr>
              <w:keepNext/>
            </w:pPr>
            <w:r>
              <w:rPr>
                <w:b w:val="0"/>
                <w:i w:val="0"/>
                <w:sz w:val="18"/>
              </w:rPr>
              <w:t>30</w:t>
            </w:r>
          </w:p>
        </w:tc>
      </w:tr>
      <w:tr>
        <w:trPr>
          <w:cantSplit/>
        </w:trPr>
        <w:tc>
          <w:tcPr>
            <w:tcW w:type="dxa" w:w="1701"/>
          </w:tcPr>
          <w:p>
            <w:pPr>
              <w:keepNext/>
            </w:pPr>
            <w:r>
              <w:rPr>
                <w:b w:val="0"/>
                <w:i w:val="0"/>
                <w:sz w:val="18"/>
              </w:rPr>
              <w:t>Semestre 1</w:t>
            </w:r>
          </w:p>
        </w:tc>
        <w:tc>
          <w:tcPr>
            <w:tcW w:type="dxa" w:w="5102"/>
          </w:tcPr>
          <w:p>
            <w:pPr>
              <w:keepNext/>
            </w:pPr>
            <w:r>
              <w:rPr>
                <w:b w:val="0"/>
                <w:i w:val="0"/>
                <w:sz w:val="18"/>
              </w:rPr>
              <w:t>Unidad 4: Naturaleza</w:t>
            </w:r>
          </w:p>
        </w:tc>
        <w:tc>
          <w:tcPr>
            <w:tcW w:type="dxa" w:w="5329"/>
          </w:tcPr>
          <w:p>
            <w:pPr>
              <w:keepNext/>
            </w:pPr>
            <w:r>
              <w:rPr>
                <w:b w:val="0"/>
                <w:i w:val="0"/>
                <w:sz w:val="18"/>
              </w:rPr>
              <w:t>Semanas 15 a 19</w:t>
            </w:r>
          </w:p>
        </w:tc>
        <w:tc>
          <w:tcPr>
            <w:tcW w:type="dxa" w:w="2268"/>
          </w:tcPr>
          <w:p>
            <w:pPr>
              <w:keepNext/>
            </w:pPr>
            <w:r>
              <w:rPr>
                <w:b w:val="0"/>
                <w:i w:val="0"/>
                <w:sz w:val="18"/>
              </w:rPr>
              <w:t>≈ 5</w:t>
            </w:r>
          </w:p>
        </w:tc>
        <w:tc>
          <w:tcPr>
            <w:tcW w:type="dxa" w:w="2268"/>
          </w:tcPr>
          <w:p>
            <w:pPr>
              <w:keepNext/>
            </w:pPr>
            <w:r>
              <w:rPr>
                <w:b w:val="0"/>
                <w:i w:val="0"/>
                <w:sz w:val="18"/>
              </w:rPr>
              <w:t>28</w:t>
            </w:r>
          </w:p>
        </w:tc>
      </w:tr>
      <w:tr>
        <w:trPr>
          <w:cantSplit/>
        </w:trPr>
        <w:tc>
          <w:tcPr>
            <w:tcW w:type="dxa" w:w="1701"/>
          </w:tcPr>
          <w:p>
            <w:pPr>
              <w:keepNext/>
            </w:pPr>
            <w:r>
              <w:rPr>
                <w:b w:val="0"/>
                <w:i w:val="0"/>
                <w:sz w:val="18"/>
              </w:rPr>
              <w:t>Semestre 2</w:t>
            </w:r>
          </w:p>
        </w:tc>
        <w:tc>
          <w:tcPr>
            <w:tcW w:type="dxa" w:w="5102"/>
          </w:tcPr>
          <w:p>
            <w:pPr>
              <w:keepNext/>
            </w:pPr>
            <w:r>
              <w:rPr>
                <w:b w:val="0"/>
                <w:i w:val="0"/>
                <w:sz w:val="18"/>
              </w:rPr>
              <w:t>Unidad 5: La comedia</w:t>
            </w:r>
          </w:p>
        </w:tc>
        <w:tc>
          <w:tcPr>
            <w:tcW w:type="dxa" w:w="5329"/>
          </w:tcPr>
          <w:p>
            <w:pPr>
              <w:keepNext/>
            </w:pPr>
            <w:r>
              <w:rPr>
                <w:b w:val="0"/>
                <w:i w:val="0"/>
                <w:sz w:val="18"/>
              </w:rPr>
              <w:t>Semanas 20 a 25</w:t>
            </w:r>
          </w:p>
        </w:tc>
        <w:tc>
          <w:tcPr>
            <w:tcW w:type="dxa" w:w="2268"/>
          </w:tcPr>
          <w:p>
            <w:pPr>
              <w:keepNext/>
            </w:pPr>
            <w:r>
              <w:rPr>
                <w:b w:val="0"/>
                <w:i w:val="0"/>
                <w:sz w:val="18"/>
              </w:rPr>
              <w:t>≈ 5</w:t>
            </w:r>
          </w:p>
        </w:tc>
        <w:tc>
          <w:tcPr>
            <w:tcW w:type="dxa" w:w="2268"/>
          </w:tcPr>
          <w:p>
            <w:pPr>
              <w:keepNext/>
            </w:pPr>
            <w:r>
              <w:rPr>
                <w:b w:val="0"/>
                <w:i w:val="0"/>
                <w:sz w:val="18"/>
              </w:rPr>
              <w:t>32</w:t>
            </w:r>
          </w:p>
        </w:tc>
      </w:tr>
      <w:tr>
        <w:trPr>
          <w:cantSplit/>
        </w:trPr>
        <w:tc>
          <w:tcPr>
            <w:tcW w:type="dxa" w:w="1701"/>
          </w:tcPr>
          <w:p>
            <w:pPr>
              <w:keepNext/>
            </w:pPr>
            <w:r>
              <w:rPr>
                <w:b w:val="0"/>
                <w:i w:val="0"/>
                <w:sz w:val="18"/>
              </w:rPr>
              <w:t>Semestre 2</w:t>
            </w:r>
          </w:p>
        </w:tc>
        <w:tc>
          <w:tcPr>
            <w:tcW w:type="dxa" w:w="5102"/>
          </w:tcPr>
          <w:p>
            <w:pPr>
              <w:keepNext/>
            </w:pPr>
            <w:r>
              <w:rPr>
                <w:b w:val="0"/>
                <w:i w:val="0"/>
                <w:sz w:val="18"/>
              </w:rPr>
              <w:t>Unidad 6: El mundo descabellado</w:t>
            </w:r>
          </w:p>
        </w:tc>
        <w:tc>
          <w:tcPr>
            <w:tcW w:type="dxa" w:w="5329"/>
          </w:tcPr>
          <w:p>
            <w:pPr>
              <w:keepNext/>
            </w:pPr>
            <w:r>
              <w:rPr>
                <w:b w:val="0"/>
                <w:i w:val="0"/>
                <w:sz w:val="18"/>
              </w:rPr>
              <w:t>Semanas 26 a 31</w:t>
            </w:r>
          </w:p>
        </w:tc>
        <w:tc>
          <w:tcPr>
            <w:tcW w:type="dxa" w:w="2268"/>
          </w:tcPr>
          <w:p>
            <w:pPr>
              <w:keepNext/>
            </w:pPr>
            <w:r>
              <w:rPr>
                <w:b w:val="0"/>
                <w:i w:val="0"/>
                <w:sz w:val="18"/>
              </w:rPr>
              <w:t>≈ 5</w:t>
            </w:r>
          </w:p>
        </w:tc>
        <w:tc>
          <w:tcPr>
            <w:tcW w:type="dxa" w:w="2268"/>
          </w:tcPr>
          <w:p>
            <w:pPr>
              <w:keepNext/>
            </w:pPr>
            <w:r>
              <w:rPr>
                <w:b w:val="0"/>
                <w:i w:val="0"/>
                <w:sz w:val="18"/>
              </w:rPr>
              <w:t>30</w:t>
            </w:r>
          </w:p>
        </w:tc>
      </w:tr>
      <w:tr>
        <w:trPr>
          <w:cantSplit/>
        </w:trPr>
        <w:tc>
          <w:tcPr>
            <w:tcW w:type="dxa" w:w="1701"/>
          </w:tcPr>
          <w:p>
            <w:pPr>
              <w:keepNext/>
            </w:pPr>
            <w:r>
              <w:rPr>
                <w:b w:val="0"/>
                <w:i w:val="0"/>
                <w:sz w:val="18"/>
              </w:rPr>
              <w:t>Semestre 2</w:t>
            </w:r>
          </w:p>
        </w:tc>
        <w:tc>
          <w:tcPr>
            <w:tcW w:type="dxa" w:w="5102"/>
          </w:tcPr>
          <w:p>
            <w:pPr>
              <w:keepNext/>
            </w:pPr>
            <w:r>
              <w:rPr>
                <w:b w:val="0"/>
                <w:i w:val="0"/>
                <w:sz w:val="18"/>
              </w:rPr>
              <w:t>Unidad 7: Medios de comunicación</w:t>
            </w:r>
          </w:p>
        </w:tc>
        <w:tc>
          <w:tcPr>
            <w:tcW w:type="dxa" w:w="5329"/>
          </w:tcPr>
          <w:p>
            <w:pPr>
              <w:keepNext/>
            </w:pPr>
            <w:r>
              <w:rPr>
                <w:b w:val="0"/>
                <w:i w:val="0"/>
                <w:sz w:val="18"/>
              </w:rPr>
              <w:t>Semanas 32 a 38</w:t>
            </w:r>
          </w:p>
        </w:tc>
        <w:tc>
          <w:tcPr>
            <w:tcW w:type="dxa" w:w="2268"/>
          </w:tcPr>
          <w:p>
            <w:pPr>
              <w:keepNext/>
            </w:pPr>
            <w:r>
              <w:rPr>
                <w:b w:val="0"/>
                <w:i w:val="0"/>
                <w:sz w:val="18"/>
              </w:rPr>
              <w:t>≈ 6</w:t>
            </w:r>
          </w:p>
        </w:tc>
        <w:tc>
          <w:tcPr>
            <w:tcW w:type="dxa" w:w="2268"/>
          </w:tcPr>
          <w:p>
            <w:pPr>
              <w:keepNext/>
            </w:pPr>
            <w:r>
              <w:rPr>
                <w:b w:val="0"/>
                <w:i w:val="0"/>
                <w:sz w:val="18"/>
              </w:rPr>
              <w:t>36</w:t>
            </w:r>
          </w:p>
        </w:tc>
      </w:tr>
      <w:tr>
        <w:tc>
          <w:tcPr>
            <w:tcW w:type="dxa" w:w="14400"/>
            <w:gridSpan w:val="4"/>
          </w:tcPr>
          <w:p>
            <w:r/>
            <w:r>
              <w:rPr>
                <w:b/>
                <w:i w:val="0"/>
                <w:sz w:val="18"/>
              </w:rPr>
              <w:t>Total anual</w:t>
            </w:r>
          </w:p>
        </w:tc>
        <w:tc>
          <w:tcPr>
            <w:tcW w:type="dxa" w:w="2268"/>
          </w:tcPr>
          <w:p>
            <w:r>
              <w:rPr>
                <w:b/>
                <w:i w:val="0"/>
                <w:sz w:val="18"/>
              </w:rPr>
              <w:t>228</w:t>
            </w:r>
          </w:p>
        </w:tc>
      </w:tr>
    </w:tbl>
    <w:p>
      <w:pPr>
        <w:spacing w:after="0"/>
      </w:pPr>
      <w:r>
        <w:rPr>
          <w:b/>
          <w:i w:val="0"/>
          <w:sz w:val="16"/>
        </w:rPr>
        <w:t xml:space="preserve">Nota: </w:t>
      </w:r>
      <w:r>
        <w:rPr>
          <w:b w:val="0"/>
          <w:i w:val="0"/>
          <w:sz w:val="16"/>
        </w:rPr>
        <w:t xml:space="preserve">Horas por unidad según la sección «Distribución anual del tiempo por unidades» del Programa (pág. 63). El Programa no indica semanas por unidad: el período se calculó repartiendo cada semestre según las horas. </w:t>
      </w:r>
      <w:r>
        <w:rPr>
          <w:b/>
          <w:i w:val="0"/>
          <w:sz w:val="16"/>
        </w:rPr>
        <w:t xml:space="preserve">Calendario: </w:t>
      </w:r>
      <w:r>
        <w:rPr>
          <w:b w:val="0"/>
          <w:i w:val="0"/>
          <w:sz w:val="16"/>
        </w:rPr>
        <w:t>genérico de 38 semanas lectivas, 19 por semestre, numeradas de corrido en el año. Ajuste las semanas a las fechas del calendario escolar 2027 de la Seremi de Educación de su región (inicio y término de cada semestre y vacaciones de invierno).</w:t>
      </w:r>
    </w:p>
    <w:p>
      <w:pPr>
        <w:pStyle w:val="Heading1"/>
      </w:pPr>
      <w:r>
        <w:t>D. Planificación por unidad</w:t>
      </w:r>
    </w:p>
    <w:p>
      <w:pPr>
        <w:spacing w:after="80"/>
      </w:pPr>
      <w:r>
        <w:rPr>
          <w:b w:val="0"/>
          <w:i w:val="0"/>
          <w:sz w:val="16"/>
        </w:rPr>
        <w:t xml:space="preserve">Cada unidad indica los OA que trabaja según el Programa; el texto completo está en el Anexo G. </w:t>
      </w:r>
      <w:r>
        <w:rPr>
          <w:b w:val="0"/>
          <w:i w:val="0"/>
          <w:sz w:val="16"/>
        </w:rPr>
        <w:t xml:space="preserve">Los indicadores son los que el Programa asocia a sus Ejemplos de evaluación de cada unidad. Todo el texto en letra normal es literal del Programa o de las Bases; lo marcado como </w:t>
      </w:r>
      <w:r>
        <w:rPr>
          <w:b/>
          <w:i/>
          <w:color w:val="595959"/>
          <w:sz w:val="16"/>
        </w:rPr>
        <w:t>Sugerencia — revisar</w:t>
      </w:r>
      <w:r>
        <w:rPr>
          <w:b w:val="0"/>
          <w:i w:val="0"/>
          <w:sz w:val="16"/>
        </w:rPr>
        <w:t xml:space="preserve"> es una propuesta para que el docente la ajuste.</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57"/>
        <w:gridCol w:w="1134"/>
        <w:gridCol w:w="1134"/>
        <w:gridCol w:w="3413"/>
        <w:gridCol w:w="4637"/>
        <w:gridCol w:w="1474"/>
        <w:gridCol w:w="1871"/>
        <w:gridCol w:w="1247"/>
      </w:tblGrid>
      <w:tr>
        <w:trPr>
          <w:tblHeader w:val="true"/>
        </w:trPr>
        <w:tc>
          <w:tcPr>
            <w:tcW w:type="dxa" w:w="1757"/>
          </w:tcPr>
          <w:p>
            <w:r/>
            <w:r>
              <w:rPr>
                <w:b/>
                <w:i w:val="0"/>
                <w:sz w:val="16"/>
              </w:rPr>
              <w:t>Unidad</w:t>
            </w:r>
          </w:p>
        </w:tc>
        <w:tc>
          <w:tcPr>
            <w:tcW w:type="dxa" w:w="1134"/>
          </w:tcPr>
          <w:p>
            <w:r/>
            <w:r>
              <w:rPr>
                <w:b/>
                <w:i w:val="0"/>
                <w:sz w:val="16"/>
              </w:rPr>
              <w:t>Período y horas</w:t>
            </w:r>
          </w:p>
        </w:tc>
        <w:tc>
          <w:tcPr>
            <w:tcW w:type="dxa" w:w="1134"/>
          </w:tcPr>
          <w:p>
            <w:r/>
            <w:r>
              <w:rPr>
                <w:b/>
                <w:i w:val="0"/>
                <w:sz w:val="16"/>
              </w:rPr>
              <w:t>OA</w:t>
            </w:r>
          </w:p>
        </w:tc>
        <w:tc>
          <w:tcPr>
            <w:tcW w:type="dxa" w:w="3413"/>
          </w:tcPr>
          <w:p>
            <w:r/>
            <w:r>
              <w:rPr>
                <w:b/>
                <w:i w:val="0"/>
                <w:sz w:val="16"/>
              </w:rPr>
              <w:t>Foco de la unidad</w:t>
            </w:r>
          </w:p>
        </w:tc>
        <w:tc>
          <w:tcPr>
            <w:tcW w:type="dxa" w:w="4637"/>
          </w:tcPr>
          <w:p>
            <w:r/>
            <w:r>
              <w:rPr>
                <w:b/>
                <w:i w:val="0"/>
                <w:sz w:val="16"/>
              </w:rPr>
              <w:t>Indicadores de evaluación</w:t>
            </w:r>
          </w:p>
        </w:tc>
        <w:tc>
          <w:tcPr>
            <w:tcW w:type="dxa" w:w="1474"/>
          </w:tcPr>
          <w:p>
            <w:r/>
            <w:r>
              <w:rPr>
                <w:b/>
                <w:i w:val="0"/>
                <w:sz w:val="16"/>
              </w:rPr>
              <w:t>Actitudes</w:t>
            </w:r>
          </w:p>
        </w:tc>
        <w:tc>
          <w:tcPr>
            <w:tcW w:type="dxa" w:w="1871"/>
          </w:tcPr>
          <w:p>
            <w:r/>
            <w:r>
              <w:rPr>
                <w:b/>
                <w:i w:val="0"/>
                <w:sz w:val="16"/>
              </w:rPr>
              <w:t>Evaluación</w:t>
            </w:r>
          </w:p>
        </w:tc>
        <w:tc>
          <w:tcPr>
            <w:tcW w:type="dxa" w:w="1247"/>
          </w:tcPr>
          <w:p>
            <w:r/>
            <w:r>
              <w:rPr>
                <w:b/>
                <w:i w:val="0"/>
                <w:sz w:val="16"/>
              </w:rPr>
              <w:t>Recursos</w:t>
            </w:r>
          </w:p>
        </w:tc>
      </w:tr>
      <w:tr>
        <w:tc>
          <w:tcPr>
            <w:tcW w:type="dxa" w:w="1757"/>
          </w:tcPr>
          <w:p>
            <w:r/>
            <w:r>
              <w:rPr>
                <w:b/>
                <w:i w:val="0"/>
                <w:sz w:val="16"/>
              </w:rPr>
              <w:t>Unidad 1</w:t>
            </w:r>
          </w:p>
          <w:p>
            <w:r>
              <w:rPr>
                <w:b/>
                <w:i w:val="0"/>
                <w:sz w:val="16"/>
              </w:rPr>
              <w:t>Epopeya</w:t>
            </w:r>
          </w:p>
          <w:p>
            <w:r>
              <w:rPr>
                <w:b w:val="0"/>
                <w:i w:val="0"/>
                <w:sz w:val="15"/>
              </w:rPr>
              <w:t>El propósito de esta unidad es que los estudiantes lean diversos textos con carácter de epopeya para que reflexionen sobre ellos desde diversos puntos de vista.</w:t>
            </w:r>
          </w:p>
          <w:p>
            <w:r>
              <w:rPr>
                <w:b w:val="0"/>
                <w:i w:val="0"/>
                <w:color w:val="595959"/>
                <w:sz w:val="14"/>
              </w:rPr>
              <w:t>Programa, págs. 66–104</w:t>
            </w:r>
          </w:p>
        </w:tc>
        <w:tc>
          <w:tcPr>
            <w:tcW w:type="dxa" w:w="1134"/>
          </w:tcPr>
          <w:p>
            <w:r/>
            <w:r>
              <w:rPr>
                <w:b/>
                <w:i w:val="0"/>
                <w:sz w:val="15"/>
              </w:rPr>
              <w:t>Semestre 1</w:t>
            </w:r>
          </w:p>
          <w:p>
            <w:r>
              <w:rPr>
                <w:b w:val="0"/>
                <w:i w:val="0"/>
                <w:sz w:val="15"/>
              </w:rPr>
              <w:t>36 h pedagógicas</w:t>
            </w:r>
          </w:p>
          <w:p>
            <w:r>
              <w:rPr>
                <w:b w:val="0"/>
                <w:i w:val="0"/>
                <w:color w:val="595959"/>
                <w:sz w:val="15"/>
              </w:rPr>
              <w:t>Semanas 1 a 5</w:t>
            </w:r>
          </w:p>
        </w:tc>
        <w:tc>
          <w:tcPr>
            <w:tcW w:type="dxa" w:w="1134"/>
          </w:tcPr>
          <w:p>
            <w:r/>
            <w:r>
              <w:rPr>
                <w:b/>
                <w:i w:val="0"/>
                <w:sz w:val="15"/>
              </w:rPr>
              <w:t>OA 1, OA 2, OA 3, OA 6, OA 8, OA 11, OA 12, OA 14, OA 16, OA 22</w:t>
            </w:r>
          </w:p>
          <w:p>
            <w:r>
              <w:rPr>
                <w:b w:val="0"/>
                <w:i w:val="0"/>
                <w:color w:val="595959"/>
                <w:sz w:val="14"/>
              </w:rPr>
              <w:t>(texto en Anexo G)</w:t>
            </w:r>
          </w:p>
          <w:p>
            <w:r>
              <w:rPr>
                <w:b w:val="0"/>
                <w:i w:val="0"/>
                <w:sz w:val="14"/>
              </w:rPr>
              <w:t>Evaluados en los ejemplos del Programa:</w:t>
            </w:r>
          </w:p>
          <w:p>
            <w:r>
              <w:rPr>
                <w:b/>
                <w:i w:val="0"/>
                <w:sz w:val="15"/>
              </w:rPr>
              <w:t>OA 6, OA 16</w:t>
            </w:r>
          </w:p>
        </w:tc>
        <w:tc>
          <w:tcPr>
            <w:tcW w:type="dxa" w:w="3413"/>
          </w:tcPr>
          <w:p>
            <w:r/>
            <w:r>
              <w:rPr>
                <w:b/>
                <w:i w:val="0"/>
                <w:sz w:val="15"/>
              </w:rPr>
              <w:t>Lecturas sugeridas (Programa, pág. 67)</w:t>
            </w:r>
          </w:p>
          <w:p>
            <w:pPr>
              <w:pStyle w:val="ListBullet"/>
              <w:spacing w:after="20"/>
              <w:ind w:left="198" w:hanging="170"/>
            </w:pPr>
            <w:r>
              <w:rPr>
                <w:b/>
                <w:i w:val="0"/>
                <w:sz w:val="15"/>
              </w:rPr>
              <w:t xml:space="preserve">Anónimo: </w:t>
            </w:r>
            <w:r>
              <w:rPr>
                <w:b w:val="0"/>
                <w:i w:val="0"/>
                <w:sz w:val="15"/>
              </w:rPr>
              <w:t>“Cantos 80-83, 87, 89, 91, 93, 105, 110, 130, 131-136, 138, 156, 160, 161, 168-171, 173-174, 176-177, 180, 270, 289” en El cantar de Rolando.</w:t>
            </w:r>
          </w:p>
          <w:p>
            <w:pPr>
              <w:pStyle w:val="ListBullet"/>
              <w:spacing w:after="20"/>
              <w:ind w:left="198" w:hanging="170"/>
            </w:pPr>
            <w:r>
              <w:rPr>
                <w:b/>
                <w:i w:val="0"/>
                <w:sz w:val="15"/>
              </w:rPr>
              <w:t xml:space="preserve">Anónimo: </w:t>
            </w:r>
            <w:r>
              <w:rPr>
                <w:b w:val="0"/>
                <w:i w:val="0"/>
                <w:sz w:val="15"/>
              </w:rPr>
              <w:t>“Aventura II: Sigfrido”, “Aventura IV: Cómo combatió a los sajones”, “Aventura XVI: La muerte de Sigfrido” en La Canción de los Nibelungos.</w:t>
            </w:r>
          </w:p>
          <w:p>
            <w:pPr>
              <w:pStyle w:val="ListBullet"/>
              <w:spacing w:after="20"/>
              <w:ind w:left="198" w:hanging="170"/>
            </w:pPr>
            <w:r>
              <w:rPr>
                <w:b/>
                <w:i w:val="0"/>
                <w:sz w:val="15"/>
              </w:rPr>
              <w:t xml:space="preserve">Anónimo: </w:t>
            </w:r>
            <w:r>
              <w:rPr>
                <w:b w:val="0"/>
                <w:i w:val="0"/>
                <w:sz w:val="15"/>
              </w:rPr>
              <w:t>“Cantar I: Destierro del Cid, (tiradas 1-5, 14-19, 34-40)”, “Cantar III: La afrenta de Corpes (tiradas 149-152)” en Poema de Mío Cid.</w:t>
            </w:r>
          </w:p>
          <w:p>
            <w:pPr>
              <w:pStyle w:val="ListBullet"/>
              <w:spacing w:after="20"/>
              <w:ind w:left="198" w:hanging="170"/>
            </w:pPr>
            <w:r>
              <w:rPr>
                <w:b/>
                <w:i w:val="0"/>
                <w:sz w:val="15"/>
              </w:rPr>
              <w:t xml:space="preserve">Anónimo: </w:t>
            </w:r>
            <w:r>
              <w:rPr>
                <w:b w:val="0"/>
                <w:i w:val="0"/>
                <w:sz w:val="15"/>
              </w:rPr>
              <w:t>“La muerte de Grendel” en Beowulf.</w:t>
            </w:r>
          </w:p>
          <w:p>
            <w:pPr>
              <w:pStyle w:val="ListBullet"/>
              <w:spacing w:after="20"/>
              <w:ind w:left="198" w:hanging="170"/>
            </w:pPr>
            <w:r>
              <w:rPr>
                <w:b/>
                <w:i w:val="0"/>
                <w:sz w:val="15"/>
              </w:rPr>
              <w:t xml:space="preserve">Alonso de Ercilla: </w:t>
            </w:r>
            <w:r>
              <w:rPr>
                <w:b w:val="0"/>
                <w:i w:val="0"/>
                <w:sz w:val="15"/>
              </w:rPr>
              <w:t>“Canto V” en La Araucana.</w:t>
            </w:r>
          </w:p>
          <w:p>
            <w:pPr>
              <w:pStyle w:val="ListBullet"/>
              <w:spacing w:after="20"/>
              <w:ind w:left="198" w:hanging="170"/>
            </w:pPr>
            <w:r>
              <w:rPr>
                <w:b/>
                <w:i w:val="0"/>
                <w:sz w:val="15"/>
              </w:rPr>
              <w:t xml:space="preserve">Alessandro Baricco: </w:t>
            </w:r>
            <w:r>
              <w:rPr>
                <w:b w:val="0"/>
                <w:i w:val="0"/>
                <w:sz w:val="15"/>
              </w:rPr>
              <w:t>Homero, Ilíada.</w:t>
            </w:r>
          </w:p>
          <w:p>
            <w:pPr>
              <w:pStyle w:val="ListBullet"/>
              <w:spacing w:after="20"/>
              <w:ind w:left="198" w:hanging="170"/>
            </w:pPr>
            <w:r>
              <w:rPr>
                <w:b/>
                <w:i w:val="0"/>
                <w:sz w:val="15"/>
              </w:rPr>
              <w:t xml:space="preserve">Homero: </w:t>
            </w:r>
            <w:r>
              <w:rPr>
                <w:b w:val="0"/>
                <w:i w:val="0"/>
                <w:sz w:val="15"/>
              </w:rPr>
              <w:t>”Canto I: La cólera de Aquiles”, “Canto XX: Combate de los dioses”, “Canto XXIV: Rescate del cuerpo de Héctor” en La Ilíada.</w:t>
            </w:r>
          </w:p>
          <w:p>
            <w:pPr>
              <w:pStyle w:val="ListBullet"/>
              <w:spacing w:after="20"/>
              <w:ind w:left="198" w:hanging="170"/>
            </w:pPr>
            <w:r>
              <w:rPr>
                <w:b/>
                <w:i w:val="0"/>
                <w:sz w:val="15"/>
              </w:rPr>
              <w:t xml:space="preserve">Virgilio: </w:t>
            </w:r>
            <w:r>
              <w:rPr>
                <w:b w:val="0"/>
                <w:i w:val="0"/>
                <w:sz w:val="15"/>
              </w:rPr>
              <w:t>“Libro II” en La Eneida.</w:t>
            </w:r>
          </w:p>
        </w:tc>
        <w:tc>
          <w:tcPr>
            <w:tcW w:type="dxa" w:w="4637"/>
          </w:tcPr>
          <w:p>
            <w:r/>
            <w:r>
              <w:rPr>
                <w:b/>
                <w:i w:val="0"/>
                <w:sz w:val="15"/>
              </w:rPr>
              <w:t>Ejemplo 1 (OA 6) · pág. 102</w:t>
            </w:r>
          </w:p>
          <w:p>
            <w:pPr>
              <w:pStyle w:val="ListBullet"/>
              <w:spacing w:after="20"/>
              <w:ind w:left="198" w:hanging="170"/>
            </w:pPr>
            <w:r>
              <w:rPr>
                <w:b w:val="0"/>
                <w:i w:val="0"/>
                <w:sz w:val="15"/>
              </w:rPr>
              <w:t>Recuentan un fragmento de una epopeya leída, usando sus propias palabras.</w:t>
            </w:r>
          </w:p>
          <w:p>
            <w:pPr>
              <w:pStyle w:val="ListBullet"/>
              <w:spacing w:after="20"/>
              <w:ind w:left="198" w:hanging="170"/>
            </w:pPr>
            <w:r>
              <w:rPr>
                <w:b w:val="0"/>
                <w:i w:val="0"/>
                <w:sz w:val="15"/>
              </w:rPr>
              <w:t>Al leer epopeyas, explican por qué una obra leída se clasifica como tal, fundamentando con ejemplos del texto.</w:t>
            </w:r>
          </w:p>
          <w:p>
            <w:pPr>
              <w:pStyle w:val="ListBullet"/>
              <w:spacing w:after="20"/>
              <w:ind w:left="198" w:hanging="170"/>
            </w:pPr>
            <w:r>
              <w:rPr>
                <w:b w:val="0"/>
                <w:i w:val="0"/>
                <w:sz w:val="15"/>
              </w:rPr>
              <w:t>Describen, en términos generales, el contexto en el cual surgió la epopeya leída.</w:t>
            </w:r>
          </w:p>
          <w:p>
            <w:r>
              <w:rPr>
                <w:b/>
                <w:i w:val="0"/>
                <w:sz w:val="15"/>
              </w:rPr>
              <w:t>Ejemplo 2 (OA 16) · pág. 103</w:t>
            </w:r>
          </w:p>
          <w:p>
            <w:pPr>
              <w:pStyle w:val="ListBullet"/>
              <w:spacing w:after="20"/>
              <w:ind w:left="198" w:hanging="170"/>
            </w:pPr>
            <w:r>
              <w:rPr>
                <w:b w:val="0"/>
                <w:i w:val="0"/>
                <w:sz w:val="15"/>
              </w:rPr>
              <w:t>Recopilan documentos o páginas de internet que pueden aportar información para su tema.</w:t>
            </w:r>
          </w:p>
          <w:p>
            <w:pPr>
              <w:pStyle w:val="ListBullet"/>
              <w:spacing w:after="20"/>
              <w:ind w:left="198" w:hanging="170"/>
            </w:pPr>
            <w:r>
              <w:rPr>
                <w:b w:val="0"/>
                <w:i w:val="0"/>
                <w:sz w:val="15"/>
              </w:rPr>
              <w:t>Toman apuntes o hacen fichas a partir de los textos que consultan.</w:t>
            </w:r>
          </w:p>
          <w:p>
            <w:pPr>
              <w:pStyle w:val="ListBullet"/>
              <w:spacing w:after="20"/>
              <w:ind w:left="198" w:hanging="170"/>
            </w:pPr>
            <w:r>
              <w:rPr>
                <w:b w:val="0"/>
                <w:i w:val="0"/>
                <w:sz w:val="15"/>
              </w:rPr>
              <w:t>Seleccionan la información que se relaciona directamente con el tema y descartan la que no es pertinente.</w:t>
            </w:r>
          </w:p>
          <w:p>
            <w:pPr>
              <w:pStyle w:val="ListBullet"/>
              <w:spacing w:after="20"/>
              <w:ind w:left="198" w:hanging="170"/>
            </w:pPr>
            <w:r>
              <w:rPr>
                <w:b w:val="0"/>
                <w:i w:val="0"/>
                <w:sz w:val="15"/>
              </w:rPr>
              <w:t>Comentan con otros los temas que desarrollarán y qué información incluirán en sus escritos.</w:t>
            </w:r>
          </w:p>
          <w:p>
            <w:pPr>
              <w:pStyle w:val="ListBullet"/>
              <w:spacing w:after="20"/>
              <w:ind w:left="198" w:hanging="170"/>
            </w:pPr>
            <w:r>
              <w:rPr>
                <w:b w:val="0"/>
                <w:i w:val="0"/>
                <w:sz w:val="15"/>
              </w:rPr>
              <w:t>Organizan sus ideas e información en torno a diferentes categorías o temas, usando organizadores gráficos o esquemas.</w:t>
            </w:r>
          </w:p>
          <w:p>
            <w:pPr>
              <w:pStyle w:val="ListBullet"/>
              <w:spacing w:after="20"/>
              <w:ind w:left="198" w:hanging="170"/>
            </w:pPr>
            <w:r>
              <w:rPr>
                <w:b w:val="0"/>
                <w:i w:val="0"/>
                <w:sz w:val="15"/>
              </w:rPr>
              <w:t>Modifican sus escritos, ya sea a medida que van escribiendo o al final, para incorporar nuevas ideas relevantes.</w:t>
            </w:r>
          </w:p>
          <w:p>
            <w:pPr>
              <w:pStyle w:val="ListBullet"/>
              <w:spacing w:after="20"/>
              <w:ind w:left="198" w:hanging="170"/>
            </w:pPr>
            <w:r>
              <w:rPr>
                <w:b w:val="0"/>
                <w:i w:val="0"/>
                <w:sz w:val="15"/>
              </w:rPr>
              <w:t>Reorganizan, si es necesario, los párrafos para que estos tengan una progresión temática coherente.</w:t>
            </w:r>
          </w:p>
          <w:p>
            <w:pPr>
              <w:pStyle w:val="ListBullet"/>
              <w:spacing w:after="20"/>
              <w:ind w:left="198" w:hanging="170"/>
            </w:pPr>
            <w:r>
              <w:rPr>
                <w:b w:val="0"/>
                <w:i w:val="0"/>
                <w:sz w:val="15"/>
              </w:rPr>
              <w:t>Eliminan información superflua.</w:t>
            </w:r>
          </w:p>
        </w:tc>
        <w:tc>
          <w:tcPr>
            <w:tcW w:type="dxa" w:w="1474"/>
          </w:tcPr>
          <w:p>
            <w:r/>
            <w:r>
              <w:rPr>
                <w:b/>
                <w:i w:val="0"/>
                <w:sz w:val="15"/>
              </w:rPr>
              <w:t xml:space="preserve">OA B: </w:t>
            </w:r>
            <w:r>
              <w:rPr>
                <w:b w:val="0"/>
                <w:i w:val="0"/>
                <w:sz w:val="15"/>
              </w:rPr>
              <w:t>Manifestar una disposición a reflexionar sobre sí mismo y sobre las cuestiones sociales y éticas que emanan de las lecturas.</w:t>
            </w:r>
          </w:p>
          <w:p>
            <w:r>
              <w:rPr>
                <w:b/>
                <w:i w:val="0"/>
                <w:sz w:val="15"/>
              </w:rPr>
              <w:t xml:space="preserve">OA F: </w:t>
            </w:r>
            <w:r>
              <w:rPr>
                <w:b w:val="0"/>
                <w:i w:val="0"/>
                <w:sz w:val="15"/>
              </w:rPr>
              <w:t>Valorar la evidencia y la búsqueda de conocimientos que apoyen sus aseveraciones.</w:t>
            </w:r>
          </w:p>
        </w:tc>
        <w:tc>
          <w:tcPr>
            <w:tcW w:type="dxa" w:w="1871"/>
          </w:tcPr>
          <w:p>
            <w:r/>
            <w:r>
              <w:rPr>
                <w:b/>
                <w:i w:val="0"/>
                <w:sz w:val="15"/>
              </w:rPr>
              <w:t xml:space="preserve">Diagnóstica. </w:t>
            </w:r>
            <w:r>
              <w:rPr>
                <w:b/>
                <w:i/>
                <w:color w:val="595959"/>
                <w:sz w:val="15"/>
              </w:rPr>
              <w:t xml:space="preserve">Sugerencia — revisar: </w:t>
            </w:r>
            <w:r>
              <w:rPr>
                <w:b w:val="0"/>
                <w:i/>
                <w:color w:val="595959"/>
                <w:sz w:val="15"/>
              </w:rPr>
              <w:t>Al inicio del año: lectura de un fragmento épico breve con preguntas de comprensión e interpretación y un párrafo de opinión, para revisar los aprendizajes de 7° básico.</w:t>
            </w:r>
          </w:p>
          <w:p>
            <w:r>
              <w:rPr>
                <w:b/>
                <w:i w:val="0"/>
                <w:sz w:val="15"/>
              </w:rPr>
              <w:t xml:space="preserve">Formativa. </w:t>
            </w:r>
            <w:r>
              <w:rPr>
                <w:b/>
                <w:i/>
                <w:color w:val="595959"/>
                <w:sz w:val="15"/>
              </w:rPr>
              <w:t xml:space="preserve">Sugerencia — revisar: </w:t>
            </w:r>
            <w:r>
              <w:rPr>
                <w:b w:val="0"/>
                <w:i/>
                <w:color w:val="595959"/>
                <w:sz w:val="15"/>
              </w:rPr>
              <w:t>Preguntas de interpretación durante la lectura de epopeyas; revisión de borradores con pauta en el proceso de escritura.</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Ejemplo 1: </w:t>
            </w:r>
            <w:r>
              <w:rPr>
                <w:b w:val="0"/>
                <w:i w:val="0"/>
                <w:sz w:val="15"/>
              </w:rPr>
              <w:t>El docente pide a los estudiantes que repasen los cantos de El cantar de Roldán que han leído en clases. Instrumento: Criterios de Evaluación. (pág. 102)</w:t>
            </w:r>
          </w:p>
          <w:p>
            <w:pPr>
              <w:pStyle w:val="ListBullet"/>
              <w:spacing w:after="20"/>
              <w:ind w:left="198" w:hanging="170"/>
            </w:pPr>
            <w:r>
              <w:rPr>
                <w:b/>
                <w:i w:val="0"/>
                <w:sz w:val="15"/>
              </w:rPr>
              <w:t xml:space="preserve">Ejemplo 2: </w:t>
            </w:r>
            <w:r>
              <w:rPr>
                <w:b w:val="0"/>
                <w:i w:val="0"/>
                <w:sz w:val="15"/>
              </w:rPr>
              <w:t>El docente evalúa la habilidad de los estudiantes para planificar la escritura. Instrumento: Criterios de Evaluación. (pág. 103)</w:t>
            </w:r>
          </w:p>
        </w:tc>
        <w:tc>
          <w:tcPr>
            <w:tcW w:type="dxa" w:w="1247"/>
          </w:tcPr>
          <w:p>
            <w:r/>
            <w:r>
              <w:rPr>
                <w:b/>
                <w:i/>
                <w:color w:val="595959"/>
                <w:sz w:val="15"/>
              </w:rPr>
              <w:t xml:space="preserve">Sugerencia — revisar: </w:t>
            </w:r>
            <w:r>
              <w:rPr>
                <w:b w:val="0"/>
                <w:i/>
                <w:color w:val="595959"/>
                <w:sz w:val="15"/>
              </w:rPr>
              <w:t>Fragmentos de epopeyas sugeridas; mapas y líneas de tiempo para contextualizar; organizadores gráficos para comparar héroes.</w:t>
            </w:r>
          </w:p>
        </w:tc>
      </w:tr>
      <w:tr>
        <w:tc>
          <w:tcPr>
            <w:tcW w:type="dxa" w:w="1757"/>
          </w:tcPr>
          <w:p>
            <w:r/>
            <w:r>
              <w:rPr>
                <w:b/>
                <w:i w:val="0"/>
                <w:sz w:val="16"/>
              </w:rPr>
              <w:t>Unidad 2</w:t>
            </w:r>
          </w:p>
          <w:p>
            <w:r>
              <w:rPr>
                <w:b/>
                <w:i w:val="0"/>
                <w:sz w:val="16"/>
              </w:rPr>
              <w:t>Experiencias del amor</w:t>
            </w:r>
          </w:p>
          <w:p>
            <w:r>
              <w:rPr>
                <w:b w:val="0"/>
                <w:i w:val="0"/>
                <w:sz w:val="15"/>
              </w:rPr>
              <w:t>El propósito de esta unidad es que los estudiantes lean una variedad de textos que aborden el tema de las experiencias del amor.</w:t>
            </w:r>
          </w:p>
          <w:p>
            <w:r>
              <w:rPr>
                <w:b w:val="0"/>
                <w:i w:val="0"/>
                <w:color w:val="595959"/>
                <w:sz w:val="14"/>
              </w:rPr>
              <w:t>Programa, págs. 105–138</w:t>
            </w:r>
          </w:p>
        </w:tc>
        <w:tc>
          <w:tcPr>
            <w:tcW w:type="dxa" w:w="1134"/>
          </w:tcPr>
          <w:p>
            <w:r/>
            <w:r>
              <w:rPr>
                <w:b/>
                <w:i w:val="0"/>
                <w:sz w:val="15"/>
              </w:rPr>
              <w:t>Semestre 1</w:t>
            </w:r>
          </w:p>
          <w:p>
            <w:r>
              <w:rPr>
                <w:b w:val="0"/>
                <w:i w:val="0"/>
                <w:sz w:val="15"/>
              </w:rPr>
              <w:t>36 h pedagógicas</w:t>
            </w:r>
          </w:p>
          <w:p>
            <w:r>
              <w:rPr>
                <w:b w:val="0"/>
                <w:i w:val="0"/>
                <w:color w:val="595959"/>
                <w:sz w:val="15"/>
              </w:rPr>
              <w:t>Semanas 6 a 10</w:t>
            </w:r>
          </w:p>
        </w:tc>
        <w:tc>
          <w:tcPr>
            <w:tcW w:type="dxa" w:w="1134"/>
          </w:tcPr>
          <w:p>
            <w:r/>
            <w:r>
              <w:rPr>
                <w:b/>
                <w:i w:val="0"/>
                <w:sz w:val="15"/>
              </w:rPr>
              <w:t>OA 1, OA 2, OA 3, OA 4, OA 8, OA 23, OA 25, OA 26</w:t>
            </w:r>
          </w:p>
          <w:p>
            <w:r>
              <w:rPr>
                <w:b w:val="0"/>
                <w:i w:val="0"/>
                <w:color w:val="595959"/>
                <w:sz w:val="14"/>
              </w:rPr>
              <w:t>(texto en Anexo G)</w:t>
            </w:r>
          </w:p>
          <w:p>
            <w:r>
              <w:rPr>
                <w:b w:val="0"/>
                <w:i w:val="0"/>
                <w:sz w:val="14"/>
              </w:rPr>
              <w:t>Evaluados en los ejemplos del Programa:</w:t>
            </w:r>
          </w:p>
          <w:p>
            <w:r>
              <w:rPr>
                <w:b/>
                <w:i w:val="0"/>
                <w:sz w:val="15"/>
              </w:rPr>
              <w:t>OA 23, OA 25</w:t>
            </w:r>
          </w:p>
        </w:tc>
        <w:tc>
          <w:tcPr>
            <w:tcW w:type="dxa" w:w="3413"/>
          </w:tcPr>
          <w:p>
            <w:r/>
            <w:r>
              <w:rPr>
                <w:b/>
                <w:i w:val="0"/>
                <w:sz w:val="15"/>
              </w:rPr>
              <w:t>Lecturas sugeridas (Programa, pág. 106)</w:t>
            </w:r>
          </w:p>
          <w:p>
            <w:pPr>
              <w:pStyle w:val="ListBullet"/>
              <w:spacing w:after="20"/>
              <w:ind w:left="198" w:hanging="170"/>
            </w:pPr>
            <w:r>
              <w:rPr>
                <w:b/>
                <w:i w:val="0"/>
                <w:sz w:val="15"/>
              </w:rPr>
              <w:t xml:space="preserve">Anónimo coreano: </w:t>
            </w:r>
            <w:r>
              <w:rPr>
                <w:b w:val="0"/>
                <w:i w:val="0"/>
                <w:sz w:val="15"/>
              </w:rPr>
              <w:t>“El bigote del tigre”</w:t>
            </w:r>
          </w:p>
          <w:p>
            <w:pPr>
              <w:pStyle w:val="ListBullet"/>
              <w:spacing w:after="20"/>
              <w:ind w:left="198" w:hanging="170"/>
            </w:pPr>
            <w:r>
              <w:rPr>
                <w:b/>
                <w:i w:val="0"/>
                <w:sz w:val="15"/>
              </w:rPr>
              <w:t xml:space="preserve">Dante Alighieri: </w:t>
            </w:r>
            <w:r>
              <w:rPr>
                <w:b w:val="0"/>
                <w:i w:val="0"/>
                <w:sz w:val="15"/>
              </w:rPr>
              <w:t>“Infierno, canto V: Paolo y Francesca” en La Divina Comedia</w:t>
            </w:r>
          </w:p>
          <w:p>
            <w:pPr>
              <w:pStyle w:val="ListBullet"/>
              <w:spacing w:after="20"/>
              <w:ind w:left="198" w:hanging="170"/>
            </w:pPr>
            <w:r>
              <w:rPr>
                <w:b/>
                <w:i w:val="0"/>
                <w:sz w:val="15"/>
              </w:rPr>
              <w:t xml:space="preserve">Braulio Arenas: </w:t>
            </w:r>
            <w:r>
              <w:rPr>
                <w:b w:val="0"/>
                <w:i w:val="0"/>
                <w:sz w:val="15"/>
              </w:rPr>
              <w:t>“Dibujo”</w:t>
            </w:r>
          </w:p>
          <w:p>
            <w:pPr>
              <w:pStyle w:val="ListBullet"/>
              <w:spacing w:after="20"/>
              <w:ind w:left="198" w:hanging="170"/>
            </w:pPr>
            <w:r>
              <w:rPr>
                <w:b/>
                <w:i w:val="0"/>
                <w:sz w:val="15"/>
              </w:rPr>
              <w:t xml:space="preserve">Joseph Bédier: </w:t>
            </w:r>
            <w:r>
              <w:rPr>
                <w:b w:val="0"/>
                <w:i w:val="0"/>
                <w:sz w:val="15"/>
              </w:rPr>
              <w:t>Tristán e Isolda</w:t>
            </w:r>
          </w:p>
          <w:p>
            <w:pPr>
              <w:pStyle w:val="ListBullet"/>
              <w:spacing w:after="20"/>
              <w:ind w:left="198" w:hanging="170"/>
            </w:pPr>
            <w:r>
              <w:rPr>
                <w:b/>
                <w:i w:val="0"/>
                <w:sz w:val="15"/>
              </w:rPr>
              <w:t xml:space="preserve">Giovanni Boccaccio: </w:t>
            </w:r>
            <w:r>
              <w:rPr>
                <w:b w:val="0"/>
                <w:i w:val="0"/>
                <w:sz w:val="15"/>
              </w:rPr>
              <w:t>“Quinta jornada, narración novena: El halcón” en Decamerón “Cuarta jornada, narración octava: Jerónimo que ama a Silvestra” en Decamerón</w:t>
            </w:r>
          </w:p>
          <w:p>
            <w:pPr>
              <w:pStyle w:val="ListBullet"/>
              <w:spacing w:after="20"/>
              <w:ind w:left="198" w:hanging="170"/>
            </w:pPr>
            <w:r>
              <w:rPr>
                <w:b/>
                <w:i w:val="0"/>
                <w:sz w:val="15"/>
              </w:rPr>
              <w:t xml:space="preserve">Ernesto Cardenal: </w:t>
            </w:r>
            <w:r>
              <w:rPr>
                <w:b w:val="0"/>
                <w:i w:val="0"/>
                <w:sz w:val="15"/>
              </w:rPr>
              <w:t>“Epigrama: Al perderte yo a ti…” “Epigrama: Te doy Claudia…”</w:t>
            </w:r>
          </w:p>
          <w:p>
            <w:pPr>
              <w:pStyle w:val="ListBullet"/>
              <w:spacing w:after="20"/>
              <w:ind w:left="198" w:hanging="170"/>
            </w:pPr>
            <w:r>
              <w:rPr>
                <w:b/>
                <w:i w:val="0"/>
                <w:sz w:val="15"/>
              </w:rPr>
              <w:t xml:space="preserve">Rubén Darío: </w:t>
            </w:r>
            <w:r>
              <w:rPr>
                <w:b w:val="0"/>
                <w:i w:val="0"/>
                <w:sz w:val="15"/>
              </w:rPr>
              <w:t>“Caso”</w:t>
            </w:r>
          </w:p>
          <w:p>
            <w:pPr>
              <w:pStyle w:val="ListBullet"/>
              <w:spacing w:after="20"/>
              <w:ind w:left="198" w:hanging="170"/>
            </w:pPr>
            <w:r>
              <w:rPr>
                <w:b/>
                <w:i w:val="0"/>
                <w:sz w:val="15"/>
              </w:rPr>
              <w:t xml:space="preserve">Miguel de Cervantes: </w:t>
            </w:r>
            <w:r>
              <w:rPr>
                <w:b w:val="0"/>
                <w:i w:val="0"/>
                <w:sz w:val="15"/>
              </w:rPr>
              <w:t>“Capítulos XII y XIII: episodio de la pastora Marcela” en Don Quijote de la Mancha: primera parte</w:t>
            </w:r>
          </w:p>
          <w:p>
            <w:pPr>
              <w:pStyle w:val="ListBullet"/>
              <w:spacing w:after="20"/>
              <w:ind w:left="198" w:hanging="170"/>
            </w:pPr>
            <w:r>
              <w:rPr>
                <w:b/>
                <w:i w:val="0"/>
                <w:sz w:val="15"/>
              </w:rPr>
              <w:t xml:space="preserve">Luis de Góngora: </w:t>
            </w:r>
            <w:r>
              <w:rPr>
                <w:b w:val="0"/>
                <w:i w:val="0"/>
                <w:sz w:val="15"/>
              </w:rPr>
              <w:t>“Letrilla: la más bella niña de nuestro lugar” “Lloraba la niña”</w:t>
            </w:r>
          </w:p>
          <w:p>
            <w:pPr>
              <w:pStyle w:val="ListBullet"/>
              <w:spacing w:after="20"/>
              <w:ind w:left="198" w:hanging="170"/>
            </w:pPr>
            <w:r>
              <w:rPr>
                <w:b/>
                <w:i w:val="0"/>
                <w:sz w:val="15"/>
              </w:rPr>
              <w:t xml:space="preserve">Juana de Ibarbourou: </w:t>
            </w:r>
            <w:r>
              <w:rPr>
                <w:b w:val="0"/>
                <w:i w:val="0"/>
                <w:sz w:val="15"/>
              </w:rPr>
              <w:t>“Despecho”</w:t>
            </w:r>
          </w:p>
          <w:p>
            <w:pPr>
              <w:pStyle w:val="ListBullet"/>
              <w:spacing w:after="20"/>
              <w:ind w:left="198" w:hanging="170"/>
            </w:pPr>
            <w:r>
              <w:rPr>
                <w:b/>
                <w:i w:val="0"/>
                <w:sz w:val="15"/>
              </w:rPr>
              <w:t xml:space="preserve">Garcilaso de la Vega: </w:t>
            </w:r>
            <w:r>
              <w:rPr>
                <w:b w:val="0"/>
                <w:i w:val="0"/>
                <w:sz w:val="15"/>
              </w:rPr>
              <w:t>“Égloga I”</w:t>
            </w:r>
          </w:p>
          <w:p>
            <w:pPr>
              <w:pStyle w:val="ListBullet"/>
              <w:spacing w:after="20"/>
              <w:ind w:left="198" w:hanging="170"/>
            </w:pPr>
            <w:r>
              <w:rPr>
                <w:b/>
                <w:i w:val="0"/>
                <w:sz w:val="15"/>
              </w:rPr>
              <w:t xml:space="preserve">Francisco de Quevedo: </w:t>
            </w:r>
            <w:r>
              <w:rPr>
                <w:b w:val="0"/>
                <w:i w:val="0"/>
                <w:sz w:val="15"/>
              </w:rPr>
              <w:t>“Definiendo el amor”</w:t>
            </w:r>
          </w:p>
          <w:p>
            <w:pPr>
              <w:pStyle w:val="ListBullet"/>
              <w:spacing w:after="20"/>
              <w:ind w:left="198" w:hanging="170"/>
            </w:pPr>
            <w:r>
              <w:rPr>
                <w:b/>
                <w:i w:val="0"/>
                <w:sz w:val="15"/>
              </w:rPr>
              <w:t xml:space="preserve">Félix Lope de Vega: </w:t>
            </w:r>
            <w:r>
              <w:rPr>
                <w:b w:val="0"/>
                <w:i w:val="0"/>
                <w:sz w:val="15"/>
              </w:rPr>
              <w:t>“Soneto 126: Desmayarse, atreverse…”</w:t>
            </w:r>
          </w:p>
          <w:p>
            <w:pPr>
              <w:pStyle w:val="ListBullet"/>
              <w:spacing w:after="20"/>
              <w:ind w:left="198" w:hanging="170"/>
            </w:pPr>
            <w:r>
              <w:rPr>
                <w:b/>
                <w:i w:val="0"/>
                <w:sz w:val="15"/>
              </w:rPr>
              <w:t xml:space="preserve">Óscar Hahn: </w:t>
            </w:r>
            <w:r>
              <w:rPr>
                <w:b w:val="0"/>
                <w:i w:val="0"/>
                <w:sz w:val="15"/>
              </w:rPr>
              <w:t>“Consejo de ancianos”</w:t>
            </w:r>
          </w:p>
          <w:p>
            <w:pPr>
              <w:pStyle w:val="ListBullet"/>
              <w:spacing w:after="20"/>
              <w:ind w:left="198" w:hanging="170"/>
            </w:pPr>
            <w:r>
              <w:rPr>
                <w:b/>
                <w:i w:val="0"/>
                <w:sz w:val="15"/>
              </w:rPr>
              <w:t xml:space="preserve">Ibn Hazm de Córdoba: </w:t>
            </w:r>
            <w:r>
              <w:rPr>
                <w:b w:val="0"/>
                <w:i w:val="0"/>
                <w:sz w:val="15"/>
              </w:rPr>
              <w:t>“I. Esencia del amor”, “II. Sobre las señales del amor” en El collar de la paloma</w:t>
            </w:r>
          </w:p>
          <w:p>
            <w:pPr>
              <w:pStyle w:val="ListBullet"/>
              <w:spacing w:after="20"/>
              <w:ind w:left="198" w:hanging="170"/>
            </w:pPr>
            <w:r>
              <w:rPr>
                <w:b/>
                <w:i w:val="0"/>
                <w:sz w:val="15"/>
              </w:rPr>
              <w:t xml:space="preserve">Pablo Neruda: </w:t>
            </w:r>
            <w:r>
              <w:rPr>
                <w:b w:val="0"/>
                <w:i w:val="0"/>
                <w:sz w:val="15"/>
              </w:rPr>
              <w:t>“Tu risa” “La rama robada” “El daño” “El pozo” “El monte y el río” “Pelleas y Melisanda”</w:t>
            </w:r>
          </w:p>
          <w:p>
            <w:pPr>
              <w:pStyle w:val="ListBullet"/>
              <w:spacing w:after="20"/>
              <w:ind w:left="198" w:hanging="170"/>
            </w:pPr>
            <w:r>
              <w:rPr>
                <w:b/>
                <w:i w:val="0"/>
                <w:sz w:val="15"/>
              </w:rPr>
              <w:t xml:space="preserve">O’Henry: </w:t>
            </w:r>
            <w:r>
              <w:rPr>
                <w:b w:val="0"/>
                <w:i w:val="0"/>
                <w:sz w:val="15"/>
              </w:rPr>
              <w:t>“El regalo de los reyes magos” “La última hoja”</w:t>
            </w:r>
          </w:p>
          <w:p>
            <w:pPr>
              <w:pStyle w:val="ListBullet"/>
              <w:spacing w:after="20"/>
              <w:ind w:left="198" w:hanging="170"/>
            </w:pPr>
            <w:r>
              <w:rPr>
                <w:b/>
                <w:i w:val="0"/>
                <w:sz w:val="15"/>
              </w:rPr>
              <w:t xml:space="preserve">Alexander Pushkin: </w:t>
            </w:r>
            <w:r>
              <w:rPr>
                <w:b w:val="0"/>
                <w:i w:val="0"/>
                <w:sz w:val="15"/>
              </w:rPr>
              <w:t>La hija del capitán</w:t>
            </w:r>
          </w:p>
          <w:p>
            <w:pPr>
              <w:pStyle w:val="ListBullet"/>
              <w:spacing w:after="20"/>
              <w:ind w:left="198" w:hanging="170"/>
            </w:pPr>
            <w:r>
              <w:rPr>
                <w:b/>
                <w:i w:val="0"/>
                <w:sz w:val="15"/>
              </w:rPr>
              <w:t xml:space="preserve">Edmond Rostand: </w:t>
            </w:r>
            <w:r>
              <w:rPr>
                <w:b w:val="0"/>
                <w:i w:val="0"/>
                <w:sz w:val="15"/>
              </w:rPr>
              <w:t>Cyrano de Bergerac</w:t>
            </w:r>
          </w:p>
          <w:p>
            <w:pPr>
              <w:pStyle w:val="ListBullet"/>
              <w:spacing w:after="20"/>
              <w:ind w:left="198" w:hanging="170"/>
            </w:pPr>
            <w:r>
              <w:rPr>
                <w:b/>
                <w:i w:val="0"/>
                <w:sz w:val="15"/>
              </w:rPr>
              <w:t xml:space="preserve">Alfred Tennyson: </w:t>
            </w:r>
            <w:r>
              <w:rPr>
                <w:b w:val="0"/>
                <w:i w:val="0"/>
                <w:sz w:val="15"/>
              </w:rPr>
              <w:t>“La dama de Shalott”</w:t>
            </w:r>
          </w:p>
          <w:p>
            <w:pPr>
              <w:pStyle w:val="ListBullet"/>
              <w:spacing w:after="20"/>
              <w:ind w:left="198" w:hanging="170"/>
            </w:pPr>
            <w:r>
              <w:rPr>
                <w:b/>
                <w:i w:val="0"/>
                <w:sz w:val="15"/>
              </w:rPr>
              <w:t xml:space="preserve">Óscar Wilde: </w:t>
            </w:r>
            <w:r>
              <w:rPr>
                <w:b w:val="0"/>
                <w:i w:val="0"/>
                <w:sz w:val="15"/>
              </w:rPr>
              <w:t>“El ruiseñor y la rosa”</w:t>
            </w:r>
          </w:p>
        </w:tc>
        <w:tc>
          <w:tcPr>
            <w:tcW w:type="dxa" w:w="4637"/>
          </w:tcPr>
          <w:p>
            <w:r/>
            <w:r>
              <w:rPr>
                <w:b/>
                <w:i w:val="0"/>
                <w:sz w:val="15"/>
              </w:rPr>
              <w:t>Ejemplo 1 (OA 23, OA 25) · pág. 135</w:t>
            </w:r>
          </w:p>
          <w:p>
            <w:pPr>
              <w:pStyle w:val="ListBullet"/>
              <w:spacing w:after="20"/>
              <w:ind w:left="198" w:hanging="170"/>
            </w:pPr>
            <w:r>
              <w:rPr>
                <w:b w:val="0"/>
                <w:i w:val="0"/>
                <w:sz w:val="15"/>
              </w:rPr>
              <w:t>Hacen un resumen al principio de la presentación con los temas que abordarán y se ciñen a ellos.</w:t>
            </w:r>
          </w:p>
          <w:p>
            <w:pPr>
              <w:pStyle w:val="ListBullet"/>
              <w:spacing w:after="20"/>
              <w:ind w:left="198" w:hanging="170"/>
            </w:pPr>
            <w:r>
              <w:rPr>
                <w:b w:val="0"/>
                <w:i w:val="0"/>
                <w:sz w:val="15"/>
              </w:rPr>
              <w:t>Organizan su presentación, ordenando los temas de manera que ayuden a cumplir el propósito comunicativo.</w:t>
            </w:r>
          </w:p>
          <w:p>
            <w:pPr>
              <w:pStyle w:val="ListBullet"/>
              <w:spacing w:after="20"/>
              <w:ind w:left="198" w:hanging="170"/>
            </w:pPr>
            <w:r>
              <w:rPr>
                <w:b w:val="0"/>
                <w:i w:val="0"/>
                <w:sz w:val="15"/>
              </w:rPr>
              <w:t>Exponen casos específicos o ejemplos para ilustrar el tema.</w:t>
            </w:r>
          </w:p>
          <w:p>
            <w:pPr>
              <w:pStyle w:val="ListBullet"/>
              <w:spacing w:after="20"/>
              <w:ind w:left="198" w:hanging="170"/>
            </w:pPr>
            <w:r>
              <w:rPr>
                <w:b w:val="0"/>
                <w:i w:val="0"/>
                <w:sz w:val="15"/>
              </w:rPr>
              <w:t>Exponen causas o efectos de un hecho o acontecimiento.</w:t>
            </w:r>
          </w:p>
          <w:p>
            <w:pPr>
              <w:pStyle w:val="ListBullet"/>
              <w:spacing w:after="20"/>
              <w:ind w:left="198" w:hanging="170"/>
            </w:pPr>
            <w:r>
              <w:rPr>
                <w:b w:val="0"/>
                <w:i w:val="0"/>
                <w:sz w:val="15"/>
              </w:rPr>
              <w:t>Hacen una recapitulación cuando se ha entregado mucha información nueva.</w:t>
            </w:r>
          </w:p>
          <w:p>
            <w:pPr>
              <w:pStyle w:val="ListBullet"/>
              <w:spacing w:after="20"/>
              <w:ind w:left="198" w:hanging="170"/>
            </w:pPr>
            <w:r>
              <w:rPr>
                <w:b w:val="0"/>
                <w:i w:val="0"/>
                <w:sz w:val="15"/>
              </w:rPr>
              <w:t>Enfatizan con la voz o con elementos gráficos, la información central.</w:t>
            </w:r>
          </w:p>
          <w:p>
            <w:pPr>
              <w:pStyle w:val="ListBullet"/>
              <w:spacing w:after="20"/>
              <w:ind w:left="198" w:hanging="170"/>
            </w:pPr>
            <w:r>
              <w:rPr>
                <w:b w:val="0"/>
                <w:i w:val="0"/>
                <w:sz w:val="15"/>
              </w:rPr>
              <w:t>Organizan la información para evaluar si es suficiente o si requieren saber más sobre algún aspecto del tema.</w:t>
            </w:r>
          </w:p>
          <w:p>
            <w:pPr>
              <w:pStyle w:val="ListBullet"/>
              <w:spacing w:after="20"/>
              <w:ind w:left="198" w:hanging="170"/>
            </w:pPr>
            <w:r>
              <w:rPr>
                <w:b w:val="0"/>
                <w:i w:val="0"/>
                <w:sz w:val="15"/>
              </w:rPr>
              <w:t>Descartan fuentes que no aportan información relevante para el tema y buscan otras.</w:t>
            </w:r>
          </w:p>
          <w:p>
            <w:pPr>
              <w:pStyle w:val="ListBullet"/>
              <w:spacing w:after="20"/>
              <w:ind w:left="198" w:hanging="170"/>
            </w:pPr>
            <w:r>
              <w:rPr>
                <w:b w:val="0"/>
                <w:i w:val="0"/>
                <w:sz w:val="15"/>
              </w:rPr>
              <w:t>Anotan categorías que sirven para organizar la información relativa al tema.</w:t>
            </w:r>
          </w:p>
          <w:p>
            <w:pPr>
              <w:pStyle w:val="ListBullet"/>
              <w:spacing w:after="20"/>
              <w:ind w:left="198" w:hanging="170"/>
            </w:pPr>
            <w:r>
              <w:rPr>
                <w:b w:val="0"/>
                <w:i w:val="0"/>
                <w:sz w:val="15"/>
              </w:rPr>
              <w:t>Agrupan la información en torno a las categorías establecidas.</w:t>
            </w:r>
          </w:p>
          <w:p>
            <w:pPr>
              <w:pStyle w:val="ListBullet"/>
              <w:spacing w:after="20"/>
              <w:ind w:left="198" w:hanging="170"/>
            </w:pPr>
            <w:r>
              <w:rPr>
                <w:b w:val="0"/>
                <w:i w:val="0"/>
                <w:sz w:val="15"/>
              </w:rPr>
              <w:t>Organizan la información encontrada en un esquema para presentarla de manera ordenada en una exposición.</w:t>
            </w:r>
          </w:p>
          <w:p>
            <w:r>
              <w:rPr>
                <w:b/>
                <w:i w:val="0"/>
                <w:sz w:val="15"/>
              </w:rPr>
              <w:t>Ejemplo 2 (OA 23) · pág. 137</w:t>
            </w:r>
          </w:p>
          <w:p>
            <w:pPr>
              <w:pStyle w:val="ListBullet"/>
              <w:spacing w:after="20"/>
              <w:ind w:left="198" w:hanging="170"/>
            </w:pPr>
            <w:r>
              <w:rPr>
                <w:b w:val="0"/>
                <w:i w:val="0"/>
                <w:sz w:val="15"/>
              </w:rPr>
              <w:t>Hacen un resumen al principio de la presentación con los temas que abordarán y se ciñen a ellos.</w:t>
            </w:r>
          </w:p>
          <w:p>
            <w:pPr>
              <w:pStyle w:val="ListBullet"/>
              <w:spacing w:after="20"/>
              <w:ind w:left="198" w:hanging="170"/>
            </w:pPr>
            <w:r>
              <w:rPr>
                <w:b w:val="0"/>
                <w:i w:val="0"/>
                <w:sz w:val="15"/>
              </w:rPr>
              <w:t>Organizan su presentación, ordenando los temas de manera que ayuden a cumplir el propósito comunicativo.</w:t>
            </w:r>
          </w:p>
          <w:p>
            <w:pPr>
              <w:pStyle w:val="ListBullet"/>
              <w:spacing w:after="20"/>
              <w:ind w:left="198" w:hanging="170"/>
            </w:pPr>
            <w:r>
              <w:rPr>
                <w:b w:val="0"/>
                <w:i w:val="0"/>
                <w:sz w:val="15"/>
              </w:rPr>
              <w:t>Exponen casos específicos o ejemplos para ilustrar el tema.</w:t>
            </w:r>
          </w:p>
          <w:p>
            <w:pPr>
              <w:pStyle w:val="ListBullet"/>
              <w:spacing w:after="20"/>
              <w:ind w:left="198" w:hanging="170"/>
            </w:pPr>
            <w:r>
              <w:rPr>
                <w:b w:val="0"/>
                <w:i w:val="0"/>
                <w:sz w:val="15"/>
              </w:rPr>
              <w:t>Exponen causas o efectos de un hecho o acontecimiento.</w:t>
            </w:r>
          </w:p>
          <w:p>
            <w:pPr>
              <w:pStyle w:val="ListBullet"/>
              <w:spacing w:after="20"/>
              <w:ind w:left="198" w:hanging="170"/>
            </w:pPr>
            <w:r>
              <w:rPr>
                <w:b w:val="0"/>
                <w:i w:val="0"/>
                <w:sz w:val="15"/>
              </w:rPr>
              <w:t>Hacen una recapitulación cuando se ha entregado mucha información nueva.</w:t>
            </w:r>
          </w:p>
          <w:p>
            <w:pPr>
              <w:pStyle w:val="ListBullet"/>
              <w:spacing w:after="20"/>
              <w:ind w:left="198" w:hanging="170"/>
            </w:pPr>
            <w:r>
              <w:rPr>
                <w:b w:val="0"/>
                <w:i w:val="0"/>
                <w:sz w:val="15"/>
              </w:rPr>
              <w:t>Enfatizan con la voz o con elementos gráficos, la información central.</w:t>
            </w:r>
          </w:p>
          <w:p>
            <w:pPr>
              <w:pStyle w:val="ListBullet"/>
              <w:spacing w:after="20"/>
              <w:ind w:left="198" w:hanging="170"/>
            </w:pPr>
            <w:r>
              <w:rPr>
                <w:b w:val="0"/>
                <w:i w:val="0"/>
                <w:sz w:val="15"/>
              </w:rPr>
              <w:t>Usan los términos específicos del tema expuesto, explicándolos si es necesario.</w:t>
            </w:r>
          </w:p>
          <w:p>
            <w:pPr>
              <w:pStyle w:val="ListBullet"/>
              <w:spacing w:after="20"/>
              <w:ind w:left="198" w:hanging="170"/>
            </w:pPr>
            <w:r>
              <w:rPr>
                <w:b w:val="0"/>
                <w:i w:val="0"/>
                <w:sz w:val="15"/>
              </w:rPr>
              <w:t>Nombran las fuentes consultadas si se les pide.</w:t>
            </w:r>
          </w:p>
          <w:p>
            <w:pPr>
              <w:pStyle w:val="ListBullet"/>
              <w:spacing w:after="20"/>
              <w:ind w:left="198" w:hanging="170"/>
            </w:pPr>
            <w:r>
              <w:rPr>
                <w:b w:val="0"/>
                <w:i w:val="0"/>
                <w:sz w:val="15"/>
              </w:rPr>
              <w:t>Exponen sin usar muletillas, o haciéndolo en muy contadas ocasiones.</w:t>
            </w:r>
          </w:p>
          <w:p>
            <w:pPr>
              <w:pStyle w:val="ListBullet"/>
              <w:spacing w:after="20"/>
              <w:ind w:left="198" w:hanging="170"/>
            </w:pPr>
            <w:r>
              <w:rPr>
                <w:b w:val="0"/>
                <w:i w:val="0"/>
                <w:sz w:val="15"/>
              </w:rPr>
              <w:t>Incorporan conectores que les permiten organizar la exposición.</w:t>
            </w:r>
          </w:p>
          <w:p>
            <w:pPr>
              <w:pStyle w:val="ListBullet"/>
              <w:spacing w:after="20"/>
              <w:ind w:left="198" w:hanging="170"/>
            </w:pPr>
            <w:r>
              <w:rPr>
                <w:b w:val="0"/>
                <w:i w:val="0"/>
                <w:sz w:val="15"/>
              </w:rPr>
              <w:t>Incorporan material visual que les permite aclarar aspectos puntuales de su presentación.</w:t>
            </w:r>
          </w:p>
          <w:p>
            <w:pPr>
              <w:pStyle w:val="ListBullet"/>
              <w:spacing w:after="20"/>
              <w:ind w:left="198" w:hanging="170"/>
            </w:pPr>
            <w:r>
              <w:rPr>
                <w:b w:val="0"/>
                <w:i w:val="0"/>
                <w:sz w:val="15"/>
              </w:rPr>
              <w:t>Al usar recursos como PowerPoint o Prezi, elaboran diapositivas breves que sinteticen los conceptos centrales.</w:t>
            </w:r>
          </w:p>
          <w:p>
            <w:pPr>
              <w:pStyle w:val="ListBullet"/>
              <w:spacing w:after="20"/>
              <w:ind w:left="198" w:hanging="170"/>
            </w:pPr>
            <w:r>
              <w:rPr>
                <w:b w:val="0"/>
                <w:i w:val="0"/>
                <w:sz w:val="15"/>
              </w:rPr>
              <w:t>El material usado es relevante para aclarar, profundizar o expandir las ideas presentadas y es un aporte para la presentación.</w:t>
            </w:r>
          </w:p>
        </w:tc>
        <w:tc>
          <w:tcPr>
            <w:tcW w:type="dxa" w:w="1474"/>
          </w:tcPr>
          <w:p>
            <w:r/>
            <w:r>
              <w:rPr>
                <w:b/>
                <w:i w:val="0"/>
                <w:sz w:val="15"/>
              </w:rPr>
              <w:t xml:space="preserve">OA F: </w:t>
            </w:r>
            <w:r>
              <w:rPr>
                <w:b w:val="0"/>
                <w:i w:val="0"/>
                <w:sz w:val="15"/>
              </w:rPr>
              <w:t>Valorar la evidencia y la búsqueda de conocimientos que apoyen sus aseveraciones.</w:t>
            </w:r>
          </w:p>
          <w:p>
            <w:r>
              <w:rPr>
                <w:b/>
                <w:i w:val="0"/>
                <w:sz w:val="15"/>
              </w:rPr>
              <w:t xml:space="preserve">OA G: </w:t>
            </w:r>
            <w:r>
              <w:rPr>
                <w:b w:val="0"/>
                <w:i w:val="0"/>
                <w:sz w:val="15"/>
              </w:rPr>
              <w:t>Realizar tareas y trabajos de forma rigurosa y perseverante, entendiendo que los logros se obtienen solo después de un trabajo prolongado.</w:t>
            </w:r>
          </w:p>
          <w:p>
            <w:r>
              <w:rPr>
                <w:b/>
                <w:i w:val="0"/>
                <w:sz w:val="15"/>
              </w:rPr>
              <w:t xml:space="preserve">OA H: </w:t>
            </w:r>
            <w:r>
              <w:rPr>
                <w:b w:val="0"/>
                <w:i w:val="0"/>
                <w:sz w:val="15"/>
              </w:rPr>
              <w:t>Trabajar colaborativamente, usando de manera responsable las tecnologías de la comunicación, dando crédito al trabajo de otros y respetando la propiedad y la privacidad de las personas.</w:t>
            </w:r>
          </w:p>
        </w:tc>
        <w:tc>
          <w:tcPr>
            <w:tcW w:type="dxa" w:w="1871"/>
          </w:tcPr>
          <w:p>
            <w:r/>
            <w:r>
              <w:rPr>
                <w:b/>
                <w:i w:val="0"/>
                <w:sz w:val="15"/>
              </w:rPr>
              <w:t>Diagnóstica (Programa):</w:t>
            </w:r>
          </w:p>
          <w:p>
            <w:pPr>
              <w:pStyle w:val="ListBullet"/>
              <w:spacing w:after="20"/>
              <w:ind w:left="198" w:hanging="170"/>
            </w:pPr>
            <w:r>
              <w:rPr>
                <w:b/>
                <w:i w:val="0"/>
                <w:sz w:val="15"/>
              </w:rPr>
              <w:t xml:space="preserve">Ejemplo 1: </w:t>
            </w:r>
            <w:r>
              <w:rPr>
                <w:b w:val="0"/>
                <w:i w:val="0"/>
                <w:sz w:val="15"/>
              </w:rPr>
              <w:t>Una vez que los estudiantes han realizado una investigación bibliográfica, el docente pide que decidan qué incluirán en la presentación que harán frente al curso. (pág. 135)</w:t>
            </w:r>
          </w:p>
          <w:p>
            <w:r>
              <w:rPr>
                <w:b/>
                <w:i w:val="0"/>
                <w:sz w:val="15"/>
              </w:rPr>
              <w:t xml:space="preserve">Formativa. </w:t>
            </w:r>
            <w:r>
              <w:rPr>
                <w:b/>
                <w:i/>
                <w:color w:val="595959"/>
                <w:sz w:val="15"/>
              </w:rPr>
              <w:t xml:space="preserve">Sugerencia — revisar: </w:t>
            </w:r>
            <w:r>
              <w:rPr>
                <w:b w:val="0"/>
                <w:i/>
                <w:color w:val="595959"/>
                <w:sz w:val="15"/>
              </w:rPr>
              <w:t>Tickets de salida sobre poemas y relatos leídos; coevaluación de la participación en conversaciones con pauta.</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Ejemplo 2: </w:t>
            </w:r>
            <w:r>
              <w:rPr>
                <w:b w:val="0"/>
                <w:i w:val="0"/>
                <w:sz w:val="15"/>
              </w:rPr>
              <w:t>Una vez que los estudiantes han recibido retroalimentación sobre la actividad anterior, elaboran el guion y apoyos gráficos y ensayan la presentación completa, tomando en consideración la pauta con la que serán evaluados por el docente y tres pares elegidos al azar. Instrumento: Pauta de evaluación. (pág. 137)</w:t>
            </w:r>
          </w:p>
        </w:tc>
        <w:tc>
          <w:tcPr>
            <w:tcW w:type="dxa" w:w="1247"/>
          </w:tcPr>
          <w:p>
            <w:r/>
            <w:r>
              <w:rPr>
                <w:b/>
                <w:i/>
                <w:color w:val="595959"/>
                <w:sz w:val="15"/>
              </w:rPr>
              <w:t xml:space="preserve">Sugerencia — revisar: </w:t>
            </w:r>
            <w:r>
              <w:rPr>
                <w:b w:val="0"/>
                <w:i/>
                <w:color w:val="595959"/>
                <w:sz w:val="15"/>
              </w:rPr>
              <w:t>Antología de poemas y relatos sobre el amor; grabaciones de lectura en voz alta; organizadores para analizar lenguaje figurado.</w:t>
            </w:r>
          </w:p>
        </w:tc>
      </w:tr>
      <w:tr>
        <w:tc>
          <w:tcPr>
            <w:tcW w:type="dxa" w:w="1757"/>
          </w:tcPr>
          <w:p>
            <w:r/>
            <w:r>
              <w:rPr>
                <w:b/>
                <w:i w:val="0"/>
                <w:sz w:val="16"/>
              </w:rPr>
              <w:t>Unidad 3</w:t>
            </w:r>
          </w:p>
          <w:p>
            <w:r>
              <w:rPr>
                <w:b/>
                <w:i w:val="0"/>
                <w:sz w:val="16"/>
              </w:rPr>
              <w:t>Relatos de misterio</w:t>
            </w:r>
          </w:p>
          <w:p>
            <w:r>
              <w:rPr>
                <w:b w:val="0"/>
                <w:i w:val="0"/>
                <w:sz w:val="15"/>
              </w:rPr>
              <w:t>En esta unidad, se espera que los estudiantes lean una variedad de textos de misterio.</w:t>
            </w:r>
          </w:p>
          <w:p>
            <w:r>
              <w:rPr>
                <w:b w:val="0"/>
                <w:i w:val="0"/>
                <w:color w:val="595959"/>
                <w:sz w:val="14"/>
              </w:rPr>
              <w:t>Programa, págs. 139–171</w:t>
            </w:r>
          </w:p>
        </w:tc>
        <w:tc>
          <w:tcPr>
            <w:tcW w:type="dxa" w:w="1134"/>
          </w:tcPr>
          <w:p>
            <w:r/>
            <w:r>
              <w:rPr>
                <w:b/>
                <w:i w:val="0"/>
                <w:sz w:val="15"/>
              </w:rPr>
              <w:t>Semestre 1</w:t>
            </w:r>
          </w:p>
          <w:p>
            <w:r>
              <w:rPr>
                <w:b w:val="0"/>
                <w:i w:val="0"/>
                <w:sz w:val="15"/>
              </w:rPr>
              <w:t>30 h pedagógicas</w:t>
            </w:r>
          </w:p>
          <w:p>
            <w:r>
              <w:rPr>
                <w:b w:val="0"/>
                <w:i w:val="0"/>
                <w:color w:val="595959"/>
                <w:sz w:val="15"/>
              </w:rPr>
              <w:t>Semanas 11 a 14</w:t>
            </w:r>
          </w:p>
        </w:tc>
        <w:tc>
          <w:tcPr>
            <w:tcW w:type="dxa" w:w="1134"/>
          </w:tcPr>
          <w:p>
            <w:r/>
            <w:r>
              <w:rPr>
                <w:b/>
                <w:i w:val="0"/>
                <w:sz w:val="15"/>
              </w:rPr>
              <w:t>OA 1, OA 2, OA 3, OA 8, OA 12, OA 13, OA 17, OA 18, OA 22</w:t>
            </w:r>
          </w:p>
          <w:p>
            <w:r>
              <w:rPr>
                <w:b w:val="0"/>
                <w:i w:val="0"/>
                <w:color w:val="595959"/>
                <w:sz w:val="14"/>
              </w:rPr>
              <w:t>(texto en Anexo G)</w:t>
            </w:r>
          </w:p>
          <w:p>
            <w:r>
              <w:rPr>
                <w:b w:val="0"/>
                <w:i w:val="0"/>
                <w:sz w:val="14"/>
              </w:rPr>
              <w:t>Evaluados en los ejemplos del Programa:</w:t>
            </w:r>
          </w:p>
          <w:p>
            <w:r>
              <w:rPr>
                <w:b/>
                <w:i w:val="0"/>
                <w:sz w:val="15"/>
              </w:rPr>
              <w:t>OA 3, OA 17</w:t>
            </w:r>
          </w:p>
        </w:tc>
        <w:tc>
          <w:tcPr>
            <w:tcW w:type="dxa" w:w="3413"/>
          </w:tcPr>
          <w:p>
            <w:r/>
            <w:r>
              <w:rPr>
                <w:b/>
                <w:i w:val="0"/>
                <w:sz w:val="15"/>
              </w:rPr>
              <w:t>Lecturas sugeridas (Programa, pág. 140)</w:t>
            </w:r>
          </w:p>
          <w:p>
            <w:pPr>
              <w:pStyle w:val="ListBullet"/>
              <w:spacing w:after="20"/>
              <w:ind w:left="198" w:hanging="170"/>
            </w:pPr>
            <w:r>
              <w:rPr>
                <w:b/>
                <w:i w:val="0"/>
                <w:sz w:val="15"/>
              </w:rPr>
              <w:t xml:space="preserve">Edgar Allan Poe: </w:t>
            </w:r>
            <w:r>
              <w:rPr>
                <w:b w:val="0"/>
                <w:i w:val="0"/>
                <w:sz w:val="15"/>
              </w:rPr>
              <w:t>“La carta robada”; "Los crímenes de la calle Morgue"</w:t>
            </w:r>
          </w:p>
          <w:p>
            <w:pPr>
              <w:pStyle w:val="ListBullet"/>
              <w:spacing w:after="20"/>
              <w:ind w:left="198" w:hanging="170"/>
            </w:pPr>
            <w:r>
              <w:rPr>
                <w:b/>
                <w:i w:val="0"/>
                <w:sz w:val="15"/>
              </w:rPr>
              <w:t xml:space="preserve">Guillaume Apollinaire: </w:t>
            </w:r>
            <w:r>
              <w:rPr>
                <w:b w:val="0"/>
                <w:i w:val="0"/>
                <w:sz w:val="15"/>
              </w:rPr>
              <w:t>“La desaparición de Honorato Subrac”</w:t>
            </w:r>
          </w:p>
          <w:p>
            <w:pPr>
              <w:pStyle w:val="ListBullet"/>
              <w:spacing w:after="20"/>
              <w:ind w:left="198" w:hanging="170"/>
            </w:pPr>
            <w:r>
              <w:rPr>
                <w:b/>
                <w:i w:val="0"/>
                <w:sz w:val="15"/>
              </w:rPr>
              <w:t xml:space="preserve">G. K. Chesterton: </w:t>
            </w:r>
            <w:r>
              <w:rPr>
                <w:b w:val="0"/>
                <w:i w:val="0"/>
                <w:sz w:val="15"/>
              </w:rPr>
              <w:t>El candor del padre Brown</w:t>
            </w:r>
          </w:p>
          <w:p>
            <w:pPr>
              <w:pStyle w:val="ListBullet"/>
              <w:spacing w:after="20"/>
              <w:ind w:left="198" w:hanging="170"/>
            </w:pPr>
            <w:r>
              <w:rPr>
                <w:b/>
                <w:i w:val="0"/>
                <w:sz w:val="15"/>
              </w:rPr>
              <w:t xml:space="preserve">Agatha Christie: </w:t>
            </w:r>
            <w:r>
              <w:rPr>
                <w:b w:val="0"/>
                <w:i w:val="0"/>
                <w:sz w:val="15"/>
              </w:rPr>
              <w:t>La ratonera; Cinco cerditos; El asesinato de Roger Ackroyd</w:t>
            </w:r>
          </w:p>
          <w:p>
            <w:pPr>
              <w:pStyle w:val="ListBullet"/>
              <w:spacing w:after="20"/>
              <w:ind w:left="198" w:hanging="170"/>
            </w:pPr>
            <w:r>
              <w:rPr>
                <w:b/>
                <w:i w:val="0"/>
                <w:sz w:val="15"/>
              </w:rPr>
              <w:t xml:space="preserve">Arthur Conan Doyle: </w:t>
            </w:r>
            <w:r>
              <w:rPr>
                <w:b w:val="0"/>
                <w:i w:val="0"/>
                <w:sz w:val="15"/>
              </w:rPr>
              <w:t>“Escándalo en Bohemia”; “El problema final”; “El mastín de los Baskerville”</w:t>
            </w:r>
          </w:p>
          <w:p>
            <w:pPr>
              <w:pStyle w:val="ListBullet"/>
              <w:spacing w:after="20"/>
              <w:ind w:left="198" w:hanging="170"/>
            </w:pPr>
            <w:r>
              <w:rPr>
                <w:b/>
                <w:i w:val="0"/>
                <w:sz w:val="15"/>
              </w:rPr>
              <w:t xml:space="preserve">Ramón Díaz Eterovic: </w:t>
            </w:r>
            <w:r>
              <w:rPr>
                <w:b w:val="0"/>
                <w:i w:val="0"/>
                <w:sz w:val="15"/>
              </w:rPr>
              <w:t>El color de la piel; “Vi morir a Hank Quilan” en Muchos gatos para un solo crimen</w:t>
            </w:r>
          </w:p>
          <w:p>
            <w:pPr>
              <w:pStyle w:val="ListBullet"/>
              <w:spacing w:after="20"/>
              <w:ind w:left="198" w:hanging="170"/>
            </w:pPr>
            <w:r>
              <w:rPr>
                <w:b/>
                <w:i w:val="0"/>
                <w:sz w:val="15"/>
              </w:rPr>
              <w:t xml:space="preserve">Alejandro Dumas: </w:t>
            </w:r>
            <w:r>
              <w:rPr>
                <w:b w:val="0"/>
                <w:i w:val="0"/>
                <w:sz w:val="15"/>
              </w:rPr>
              <w:t>“El hombre del alfanje”</w:t>
            </w:r>
          </w:p>
          <w:p>
            <w:pPr>
              <w:pStyle w:val="ListBullet"/>
              <w:spacing w:after="20"/>
              <w:ind w:left="198" w:hanging="170"/>
            </w:pPr>
            <w:r>
              <w:rPr>
                <w:b/>
                <w:i w:val="0"/>
                <w:sz w:val="15"/>
              </w:rPr>
              <w:t xml:space="preserve">O’Henry: </w:t>
            </w:r>
            <w:r>
              <w:rPr>
                <w:b w:val="0"/>
                <w:i w:val="0"/>
                <w:sz w:val="15"/>
              </w:rPr>
              <w:t>“Veinte años después”</w:t>
            </w:r>
          </w:p>
          <w:p>
            <w:pPr>
              <w:pStyle w:val="ListBullet"/>
              <w:spacing w:after="20"/>
              <w:ind w:left="198" w:hanging="170"/>
            </w:pPr>
            <w:r>
              <w:rPr>
                <w:b/>
                <w:i w:val="0"/>
                <w:sz w:val="15"/>
              </w:rPr>
              <w:t xml:space="preserve">Manuel Peyrou: </w:t>
            </w:r>
            <w:r>
              <w:rPr>
                <w:b w:val="0"/>
                <w:i w:val="0"/>
                <w:sz w:val="15"/>
              </w:rPr>
              <w:t>“Julieta y el mago”</w:t>
            </w:r>
          </w:p>
          <w:p>
            <w:pPr>
              <w:pStyle w:val="ListBullet"/>
              <w:spacing w:after="20"/>
              <w:ind w:left="198" w:hanging="170"/>
            </w:pPr>
            <w:r>
              <w:rPr>
                <w:b/>
                <w:i w:val="0"/>
                <w:sz w:val="15"/>
              </w:rPr>
              <w:t xml:space="preserve">Voltaire: </w:t>
            </w:r>
            <w:r>
              <w:rPr>
                <w:b w:val="0"/>
                <w:i w:val="0"/>
                <w:sz w:val="15"/>
              </w:rPr>
              <w:t>“El perro y el caballo”</w:t>
            </w:r>
          </w:p>
          <w:p>
            <w:pPr>
              <w:pStyle w:val="ListBullet"/>
              <w:spacing w:after="20"/>
              <w:ind w:left="198" w:hanging="170"/>
            </w:pPr>
            <w:r>
              <w:rPr>
                <w:b w:val="0"/>
                <w:i w:val="0"/>
                <w:sz w:val="15"/>
              </w:rPr>
              <w:t>Cornell Woolrich o William</w:t>
            </w:r>
          </w:p>
          <w:p>
            <w:pPr>
              <w:pStyle w:val="ListBullet"/>
              <w:spacing w:after="20"/>
              <w:ind w:left="198" w:hanging="170"/>
            </w:pPr>
            <w:r>
              <w:rPr>
                <w:b/>
                <w:i w:val="0"/>
                <w:sz w:val="15"/>
              </w:rPr>
              <w:t xml:space="preserve">Irish: </w:t>
            </w:r>
            <w:r>
              <w:rPr>
                <w:b w:val="0"/>
                <w:i w:val="0"/>
                <w:sz w:val="15"/>
              </w:rPr>
              <w:t>Aprendiz de detective: un robo muy costoso</w:t>
            </w:r>
          </w:p>
        </w:tc>
        <w:tc>
          <w:tcPr>
            <w:tcW w:type="dxa" w:w="4637"/>
          </w:tcPr>
          <w:p>
            <w:r/>
            <w:r>
              <w:rPr>
                <w:b/>
                <w:i w:val="0"/>
                <w:sz w:val="15"/>
              </w:rPr>
              <w:t>Ejemplo 1 (OA 3) · pág. 169</w:t>
            </w:r>
          </w:p>
          <w:p>
            <w:pPr>
              <w:pStyle w:val="ListBullet"/>
              <w:spacing w:after="20"/>
              <w:ind w:left="198" w:hanging="170"/>
            </w:pPr>
            <w:r>
              <w:rPr>
                <w:b w:val="0"/>
                <w:i w:val="0"/>
                <w:sz w:val="15"/>
              </w:rPr>
              <w:t>Explican el o los conflictos de una narración.</w:t>
            </w:r>
          </w:p>
          <w:p>
            <w:pPr>
              <w:pStyle w:val="ListBullet"/>
              <w:spacing w:after="20"/>
              <w:ind w:left="198" w:hanging="170"/>
            </w:pPr>
            <w:r>
              <w:rPr>
                <w:b w:val="0"/>
                <w:i w:val="0"/>
                <w:sz w:val="15"/>
              </w:rPr>
              <w:t>Describen a los personajes a partir de lo que dicen y hacen, y lo que se dice de ellos.</w:t>
            </w:r>
          </w:p>
          <w:p>
            <w:pPr>
              <w:pStyle w:val="ListBullet"/>
              <w:spacing w:after="20"/>
              <w:ind w:left="198" w:hanging="170"/>
            </w:pPr>
            <w:r>
              <w:rPr>
                <w:b w:val="0"/>
                <w:i w:val="0"/>
                <w:sz w:val="15"/>
              </w:rPr>
              <w:t>Explican las relaciones que hay entre los personajes, en términos de parentesco, amistad, influencias de uno sobre otro, etc.</w:t>
            </w:r>
          </w:p>
          <w:p>
            <w:pPr>
              <w:pStyle w:val="ListBullet"/>
              <w:spacing w:after="20"/>
              <w:ind w:left="198" w:hanging="170"/>
            </w:pPr>
            <w:r>
              <w:rPr>
                <w:b w:val="0"/>
                <w:i w:val="0"/>
                <w:sz w:val="15"/>
              </w:rPr>
              <w:t>Señalan qué información, importante para entender la obra, se entrega en un fragmento seleccionado por el docente.</w:t>
            </w:r>
          </w:p>
          <w:p>
            <w:pPr>
              <w:pStyle w:val="ListBullet"/>
              <w:spacing w:after="20"/>
              <w:ind w:left="198" w:hanging="170"/>
            </w:pPr>
            <w:r>
              <w:rPr>
                <w:b w:val="0"/>
                <w:i w:val="0"/>
                <w:sz w:val="15"/>
              </w:rPr>
              <w:t>Explican qué relevancia tiene un determinado fragmento en la obra.</w:t>
            </w:r>
          </w:p>
          <w:p>
            <w:pPr>
              <w:pStyle w:val="ListBullet"/>
              <w:spacing w:after="20"/>
              <w:ind w:left="198" w:hanging="170"/>
            </w:pPr>
            <w:r>
              <w:rPr>
                <w:b w:val="0"/>
                <w:i w:val="0"/>
                <w:sz w:val="15"/>
              </w:rPr>
              <w:t>Explican qué temas de la obra se tocan en un determinado fragmento.</w:t>
            </w:r>
          </w:p>
          <w:p>
            <w:r>
              <w:rPr>
                <w:b/>
                <w:i w:val="0"/>
                <w:sz w:val="15"/>
              </w:rPr>
              <w:t>Ejemplo 2 (OA 17) · pág. 171</w:t>
            </w:r>
          </w:p>
          <w:p>
            <w:pPr>
              <w:pStyle w:val="ListBullet"/>
              <w:spacing w:after="20"/>
              <w:ind w:left="198" w:hanging="170"/>
            </w:pPr>
            <w:r>
              <w:rPr>
                <w:b w:val="0"/>
                <w:i w:val="0"/>
                <w:sz w:val="15"/>
              </w:rPr>
              <w:t>Usan oraciones complejas que mantienen un referente claro.</w:t>
            </w:r>
          </w:p>
          <w:p>
            <w:pPr>
              <w:pStyle w:val="ListBullet"/>
              <w:spacing w:after="20"/>
              <w:ind w:left="198" w:hanging="170"/>
            </w:pPr>
            <w:r>
              <w:rPr>
                <w:b w:val="0"/>
                <w:i w:val="0"/>
                <w:sz w:val="15"/>
              </w:rPr>
              <w:t>Usan oraciones complejas en las que la oración subordinada es coherente con la oración principal.</w:t>
            </w:r>
          </w:p>
          <w:p>
            <w:pPr>
              <w:pStyle w:val="ListBullet"/>
              <w:spacing w:after="20"/>
              <w:ind w:left="198" w:hanging="170"/>
            </w:pPr>
            <w:r>
              <w:rPr>
                <w:b w:val="0"/>
                <w:i w:val="0"/>
                <w:sz w:val="15"/>
              </w:rPr>
              <w:t>Ubican el sujeto de las oraciones para determinar de qué o quién se habla y no perder el referente.</w:t>
            </w:r>
          </w:p>
          <w:p>
            <w:pPr>
              <w:pStyle w:val="ListBullet"/>
              <w:spacing w:after="20"/>
              <w:ind w:left="198" w:hanging="170"/>
            </w:pPr>
            <w:r>
              <w:rPr>
                <w:b w:val="0"/>
                <w:i w:val="0"/>
                <w:sz w:val="15"/>
              </w:rPr>
              <w:t>Revisan y corrigen en sus textos o los de sus compañeros las oraciones complejas mal construidas, ya sea porque: Pierden el referente. No tienen el predicado de la oración principal. Pierden de vista el sujeto principal.</w:t>
            </w:r>
          </w:p>
        </w:tc>
        <w:tc>
          <w:tcPr>
            <w:tcW w:type="dxa" w:w="1474"/>
          </w:tcPr>
          <w:p>
            <w:r/>
            <w:r>
              <w:rPr>
                <w:b/>
                <w:i w:val="0"/>
                <w:sz w:val="15"/>
              </w:rPr>
              <w:t xml:space="preserve">OA A: </w:t>
            </w:r>
            <w:r>
              <w:rPr>
                <w:b w:val="0"/>
                <w:i w:val="0"/>
                <w:sz w:val="15"/>
              </w:rPr>
              <w:t>Manifestar disposición a formarse un pensamiento propio, reflexivo e informado, mediante una lectura crítica y el diálogo con otros.</w:t>
            </w:r>
          </w:p>
          <w:p>
            <w:r>
              <w:rPr>
                <w:b/>
                <w:i w:val="0"/>
                <w:sz w:val="15"/>
              </w:rPr>
              <w:t xml:space="preserve">OA C: </w:t>
            </w:r>
            <w:r>
              <w:rPr>
                <w:b w:val="0"/>
                <w:i w:val="0"/>
                <w:sz w:val="15"/>
              </w:rPr>
              <w:t>Interesarse por comprender las experiencias e ideas de los demás, utilizando la lectura y el diálogo para el enriquecimiento personal y para la construcción de buenas relaciones con los demás.</w:t>
            </w:r>
          </w:p>
          <w:p>
            <w:r>
              <w:rPr>
                <w:b/>
                <w:i w:val="0"/>
                <w:sz w:val="15"/>
              </w:rPr>
              <w:t xml:space="preserve">OA E: </w:t>
            </w:r>
            <w:r>
              <w:rPr>
                <w:b w:val="0"/>
                <w:i w:val="0"/>
                <w:sz w:val="15"/>
              </w:rPr>
              <w:t>Valorar las posibilidades que da el discurso hablado y escrito para participar de manera proactiva, informada y responsable en la vida de la sociedad democrática.</w:t>
            </w:r>
          </w:p>
        </w:tc>
        <w:tc>
          <w:tcPr>
            <w:tcW w:type="dxa" w:w="1871"/>
          </w:tcPr>
          <w:p>
            <w:r/>
            <w:r>
              <w:rPr>
                <w:b/>
                <w:i w:val="0"/>
                <w:sz w:val="15"/>
              </w:rPr>
              <w:t xml:space="preserve">Formativa. </w:t>
            </w:r>
            <w:r>
              <w:rPr>
                <w:b/>
                <w:i/>
                <w:color w:val="595959"/>
                <w:sz w:val="15"/>
              </w:rPr>
              <w:t xml:space="preserve">Sugerencia — revisar: </w:t>
            </w:r>
            <w:r>
              <w:rPr>
                <w:b w:val="0"/>
                <w:i/>
                <w:color w:val="595959"/>
                <w:sz w:val="15"/>
              </w:rPr>
              <w:t>Predicciones y verificación durante la lectura de relatos de misterio; revisión de borradores con foco en la construcción de oraciones.</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Ejemplo 1: </w:t>
            </w:r>
            <w:r>
              <w:rPr>
                <w:b w:val="0"/>
                <w:i w:val="0"/>
                <w:sz w:val="15"/>
              </w:rPr>
              <w:t>Antes de la evaluación, el docente lee en conjunto con los estudiantes “Julieta y el mago” de Manuel Peyrou. Instrumento: Criterios de Evaluación. (pág. 169)</w:t>
            </w:r>
          </w:p>
          <w:p>
            <w:pPr>
              <w:pStyle w:val="ListBullet"/>
              <w:spacing w:after="20"/>
              <w:ind w:left="198" w:hanging="170"/>
            </w:pPr>
            <w:r>
              <w:rPr>
                <w:b/>
                <w:i w:val="0"/>
                <w:sz w:val="15"/>
              </w:rPr>
              <w:t xml:space="preserve">Ejemplo 2: </w:t>
            </w:r>
            <w:r>
              <w:rPr>
                <w:b w:val="0"/>
                <w:i w:val="0"/>
                <w:sz w:val="15"/>
              </w:rPr>
              <w:t>Antes de la siguiente evaluación, es necesario que el docente haya modelado y los estudiantes hayan realizado varios ejercicios de corrección de oraciones mal construidas, tanto propuestas por el profesor como oraciones de sus propios textos. Instrumento: Criterios de Evaluación. (pág. 171)</w:t>
            </w:r>
          </w:p>
        </w:tc>
        <w:tc>
          <w:tcPr>
            <w:tcW w:type="dxa" w:w="1247"/>
          </w:tcPr>
          <w:p>
            <w:r/>
            <w:r>
              <w:rPr>
                <w:b/>
                <w:i/>
                <w:color w:val="595959"/>
                <w:sz w:val="15"/>
              </w:rPr>
              <w:t xml:space="preserve">Sugerencia — revisar: </w:t>
            </w:r>
            <w:r>
              <w:rPr>
                <w:b w:val="0"/>
                <w:i/>
                <w:color w:val="595959"/>
                <w:sz w:val="15"/>
              </w:rPr>
              <w:t>Cuentos policiales y de misterio sugeridos; organizadores para pistas y sospechosos; diccionario y procesador de textos.</w:t>
            </w:r>
          </w:p>
        </w:tc>
      </w:tr>
      <w:tr>
        <w:tc>
          <w:tcPr>
            <w:tcW w:type="dxa" w:w="1757"/>
          </w:tcPr>
          <w:p>
            <w:r/>
            <w:r>
              <w:rPr>
                <w:b/>
                <w:i w:val="0"/>
                <w:sz w:val="16"/>
              </w:rPr>
              <w:t>Unidad 4</w:t>
            </w:r>
          </w:p>
          <w:p>
            <w:r>
              <w:rPr>
                <w:b/>
                <w:i w:val="0"/>
                <w:sz w:val="16"/>
              </w:rPr>
              <w:t>Naturaleza</w:t>
            </w:r>
          </w:p>
          <w:p>
            <w:r>
              <w:rPr>
                <w:b w:val="0"/>
                <w:i w:val="0"/>
                <w:sz w:val="15"/>
              </w:rPr>
              <w:t>Esta unidad tiene como centro una mirada a la naturaleza.</w:t>
            </w:r>
          </w:p>
          <w:p>
            <w:r>
              <w:rPr>
                <w:b w:val="0"/>
                <w:i w:val="0"/>
                <w:color w:val="595959"/>
                <w:sz w:val="14"/>
              </w:rPr>
              <w:t>Programa, págs. 172–207</w:t>
            </w:r>
          </w:p>
        </w:tc>
        <w:tc>
          <w:tcPr>
            <w:tcW w:type="dxa" w:w="1134"/>
          </w:tcPr>
          <w:p>
            <w:r/>
            <w:r>
              <w:rPr>
                <w:b/>
                <w:i w:val="0"/>
                <w:sz w:val="15"/>
              </w:rPr>
              <w:t>Semestre 1</w:t>
            </w:r>
          </w:p>
          <w:p>
            <w:r>
              <w:rPr>
                <w:b w:val="0"/>
                <w:i w:val="0"/>
                <w:sz w:val="15"/>
              </w:rPr>
              <w:t>28 h pedagógicas</w:t>
            </w:r>
          </w:p>
          <w:p>
            <w:r>
              <w:rPr>
                <w:b w:val="0"/>
                <w:i w:val="0"/>
                <w:color w:val="595959"/>
                <w:sz w:val="15"/>
              </w:rPr>
              <w:t>Semanas 15 a 19</w:t>
            </w:r>
          </w:p>
        </w:tc>
        <w:tc>
          <w:tcPr>
            <w:tcW w:type="dxa" w:w="1134"/>
          </w:tcPr>
          <w:p>
            <w:r/>
            <w:r>
              <w:rPr>
                <w:b/>
                <w:i w:val="0"/>
                <w:sz w:val="15"/>
              </w:rPr>
              <w:t>OA 1, OA 2, OA 3, OA 4, OA 8, OA 15, OA 16, OA 19, OA 21</w:t>
            </w:r>
          </w:p>
          <w:p>
            <w:r>
              <w:rPr>
                <w:b w:val="0"/>
                <w:i w:val="0"/>
                <w:color w:val="595959"/>
                <w:sz w:val="14"/>
              </w:rPr>
              <w:t>(texto en Anexo G)</w:t>
            </w:r>
          </w:p>
          <w:p>
            <w:r>
              <w:rPr>
                <w:b w:val="0"/>
                <w:i w:val="0"/>
                <w:sz w:val="14"/>
              </w:rPr>
              <w:t>Evaluados en los ejemplos del Programa:</w:t>
            </w:r>
          </w:p>
          <w:p>
            <w:r>
              <w:rPr>
                <w:b/>
                <w:i w:val="0"/>
                <w:sz w:val="15"/>
              </w:rPr>
              <w:t>OA 4, OA 15</w:t>
            </w:r>
          </w:p>
        </w:tc>
        <w:tc>
          <w:tcPr>
            <w:tcW w:type="dxa" w:w="3413"/>
          </w:tcPr>
          <w:p>
            <w:r/>
            <w:r>
              <w:rPr>
                <w:b/>
                <w:i w:val="0"/>
                <w:sz w:val="15"/>
              </w:rPr>
              <w:t>Lecturas sugeridas (Programa, pág. 173)</w:t>
            </w:r>
          </w:p>
          <w:p>
            <w:pPr>
              <w:pStyle w:val="ListBullet"/>
              <w:spacing w:after="20"/>
              <w:ind w:left="198" w:hanging="170"/>
            </w:pPr>
            <w:r>
              <w:rPr>
                <w:b/>
                <w:i w:val="0"/>
                <w:sz w:val="15"/>
              </w:rPr>
              <w:t xml:space="preserve">Ciro Alegría: </w:t>
            </w:r>
            <w:r>
              <w:rPr>
                <w:b w:val="0"/>
                <w:i w:val="0"/>
                <w:sz w:val="15"/>
              </w:rPr>
              <w:t>“La paz por la fuerza”</w:t>
            </w:r>
          </w:p>
          <w:p>
            <w:pPr>
              <w:pStyle w:val="ListBullet"/>
              <w:spacing w:after="20"/>
              <w:ind w:left="198" w:hanging="170"/>
            </w:pPr>
            <w:r>
              <w:rPr>
                <w:b/>
                <w:i w:val="0"/>
                <w:sz w:val="15"/>
              </w:rPr>
              <w:t xml:space="preserve">Vicente Aleixandre: </w:t>
            </w:r>
            <w:r>
              <w:rPr>
                <w:b w:val="0"/>
                <w:i w:val="0"/>
                <w:sz w:val="15"/>
              </w:rPr>
              <w:t>“Las águilas”</w:t>
            </w:r>
          </w:p>
          <w:p>
            <w:pPr>
              <w:pStyle w:val="ListBullet"/>
              <w:spacing w:after="20"/>
              <w:ind w:left="198" w:hanging="170"/>
            </w:pPr>
            <w:r>
              <w:rPr>
                <w:b/>
                <w:i w:val="0"/>
                <w:sz w:val="15"/>
              </w:rPr>
              <w:t xml:space="preserve">Juan Bosch: </w:t>
            </w:r>
            <w:r>
              <w:rPr>
                <w:b w:val="0"/>
                <w:i w:val="0"/>
                <w:sz w:val="15"/>
              </w:rPr>
              <w:t>“Dos pesos de agua”</w:t>
            </w:r>
          </w:p>
          <w:p>
            <w:pPr>
              <w:pStyle w:val="ListBullet"/>
              <w:spacing w:after="20"/>
              <w:ind w:left="198" w:hanging="170"/>
            </w:pPr>
            <w:r>
              <w:rPr>
                <w:b/>
                <w:i w:val="0"/>
                <w:sz w:val="15"/>
              </w:rPr>
              <w:t xml:space="preserve">Jorge Carrera Andrade: </w:t>
            </w:r>
            <w:r>
              <w:rPr>
                <w:b w:val="0"/>
                <w:i w:val="0"/>
                <w:sz w:val="15"/>
              </w:rPr>
              <w:t>“Versión de la tierra”</w:t>
            </w:r>
          </w:p>
          <w:p>
            <w:pPr>
              <w:pStyle w:val="ListBullet"/>
              <w:spacing w:after="20"/>
              <w:ind w:left="198" w:hanging="170"/>
            </w:pPr>
            <w:r>
              <w:rPr>
                <w:b/>
                <w:i w:val="0"/>
                <w:sz w:val="15"/>
              </w:rPr>
              <w:t xml:space="preserve">Elicura Chihuailaf: </w:t>
            </w:r>
            <w:r>
              <w:rPr>
                <w:b w:val="0"/>
                <w:i w:val="0"/>
                <w:sz w:val="15"/>
              </w:rPr>
              <w:t>“Círculo”; “Piedra”</w:t>
            </w:r>
          </w:p>
          <w:p>
            <w:pPr>
              <w:pStyle w:val="ListBullet"/>
              <w:spacing w:after="20"/>
              <w:ind w:left="198" w:hanging="170"/>
            </w:pPr>
            <w:r>
              <w:rPr>
                <w:b/>
                <w:i w:val="0"/>
                <w:sz w:val="15"/>
              </w:rPr>
              <w:t xml:space="preserve">Charles Darwin: </w:t>
            </w:r>
            <w:r>
              <w:rPr>
                <w:b w:val="0"/>
                <w:i w:val="0"/>
                <w:sz w:val="15"/>
              </w:rPr>
              <w:t>“Capítulo XIV: capítulo sobre el sur de Chile, terremotos y volcanes” en Viaje de un naturalista alrededor del Mundo en el navío de S.M. Beagle</w:t>
            </w:r>
          </w:p>
          <w:p>
            <w:pPr>
              <w:pStyle w:val="ListBullet"/>
              <w:spacing w:after="20"/>
              <w:ind w:left="198" w:hanging="170"/>
            </w:pPr>
            <w:r>
              <w:rPr>
                <w:b/>
                <w:i w:val="0"/>
                <w:sz w:val="15"/>
              </w:rPr>
              <w:t xml:space="preserve">Alonso de Ercilla: </w:t>
            </w:r>
            <w:r>
              <w:rPr>
                <w:b w:val="0"/>
                <w:i w:val="0"/>
                <w:sz w:val="15"/>
              </w:rPr>
              <w:t>“Canto I: versos 41 a 64” en La Araucana</w:t>
            </w:r>
          </w:p>
          <w:p>
            <w:pPr>
              <w:pStyle w:val="ListBullet"/>
              <w:spacing w:after="20"/>
              <w:ind w:left="198" w:hanging="170"/>
            </w:pPr>
            <w:r>
              <w:rPr>
                <w:b/>
                <w:i w:val="0"/>
                <w:sz w:val="15"/>
              </w:rPr>
              <w:t xml:space="preserve">Juana de Ibarbouru: </w:t>
            </w:r>
            <w:r>
              <w:rPr>
                <w:b w:val="0"/>
                <w:i w:val="0"/>
                <w:sz w:val="15"/>
              </w:rPr>
              <w:t>“La higuera”</w:t>
            </w:r>
          </w:p>
          <w:p>
            <w:pPr>
              <w:pStyle w:val="ListBullet"/>
              <w:spacing w:after="20"/>
              <w:ind w:left="198" w:hanging="170"/>
            </w:pPr>
            <w:r>
              <w:rPr>
                <w:b/>
                <w:i w:val="0"/>
                <w:sz w:val="15"/>
              </w:rPr>
              <w:t xml:space="preserve">Baldomero Fernández: </w:t>
            </w:r>
            <w:r>
              <w:rPr>
                <w:b w:val="0"/>
                <w:i w:val="0"/>
                <w:sz w:val="15"/>
              </w:rPr>
              <w:t>“Setenta balcones y ninguna flor”</w:t>
            </w:r>
          </w:p>
          <w:p>
            <w:pPr>
              <w:pStyle w:val="ListBullet"/>
              <w:spacing w:after="20"/>
              <w:ind w:left="198" w:hanging="170"/>
            </w:pPr>
            <w:r>
              <w:rPr>
                <w:b/>
                <w:i w:val="0"/>
                <w:sz w:val="15"/>
              </w:rPr>
              <w:t xml:space="preserve">Nicolás Guillén: </w:t>
            </w:r>
            <w:r>
              <w:rPr>
                <w:b w:val="0"/>
                <w:i w:val="0"/>
                <w:sz w:val="15"/>
              </w:rPr>
              <w:t>“Calor”</w:t>
            </w:r>
          </w:p>
          <w:p>
            <w:pPr>
              <w:pStyle w:val="ListBullet"/>
              <w:spacing w:after="20"/>
              <w:ind w:left="198" w:hanging="170"/>
            </w:pPr>
            <w:r>
              <w:rPr>
                <w:b/>
                <w:i w:val="0"/>
                <w:sz w:val="15"/>
              </w:rPr>
              <w:t xml:space="preserve">Óscar Hahn: </w:t>
            </w:r>
            <w:r>
              <w:rPr>
                <w:b w:val="0"/>
                <w:i w:val="0"/>
                <w:sz w:val="15"/>
              </w:rPr>
              <w:t>“De cirios y de lirios”</w:t>
            </w:r>
          </w:p>
          <w:p>
            <w:pPr>
              <w:pStyle w:val="ListBullet"/>
              <w:spacing w:after="20"/>
              <w:ind w:left="198" w:hanging="170"/>
            </w:pPr>
            <w:r>
              <w:rPr>
                <w:b/>
                <w:i w:val="0"/>
                <w:sz w:val="15"/>
              </w:rPr>
              <w:t xml:space="preserve">Vicente Huidobro: </w:t>
            </w:r>
            <w:r>
              <w:rPr>
                <w:b w:val="0"/>
                <w:i w:val="0"/>
                <w:sz w:val="15"/>
              </w:rPr>
              <w:t>“Éramos los elegidos del sol”</w:t>
            </w:r>
          </w:p>
          <w:p>
            <w:pPr>
              <w:pStyle w:val="ListBullet"/>
              <w:spacing w:after="20"/>
              <w:ind w:left="198" w:hanging="170"/>
            </w:pPr>
            <w:r>
              <w:rPr>
                <w:b/>
                <w:i w:val="0"/>
                <w:sz w:val="15"/>
              </w:rPr>
              <w:t xml:space="preserve">Juan Ramón Jiménez: </w:t>
            </w:r>
            <w:r>
              <w:rPr>
                <w:b w:val="0"/>
                <w:i w:val="0"/>
                <w:sz w:val="15"/>
              </w:rPr>
              <w:t>“Iba tocando mi flauta”</w:t>
            </w:r>
          </w:p>
          <w:p>
            <w:pPr>
              <w:pStyle w:val="ListBullet"/>
              <w:spacing w:after="20"/>
              <w:ind w:left="198" w:hanging="170"/>
            </w:pPr>
            <w:r>
              <w:rPr>
                <w:b/>
                <w:i w:val="0"/>
                <w:sz w:val="15"/>
              </w:rPr>
              <w:t xml:space="preserve">Antonio Machado: </w:t>
            </w:r>
            <w:r>
              <w:rPr>
                <w:b w:val="0"/>
                <w:i w:val="0"/>
                <w:sz w:val="15"/>
              </w:rPr>
              <w:t>“A un olmo seco”; “Las moscas”</w:t>
            </w:r>
          </w:p>
          <w:p>
            <w:pPr>
              <w:pStyle w:val="ListBullet"/>
              <w:spacing w:after="20"/>
              <w:ind w:left="198" w:hanging="170"/>
            </w:pPr>
            <w:r>
              <w:rPr>
                <w:b/>
                <w:i w:val="0"/>
                <w:sz w:val="15"/>
              </w:rPr>
              <w:t xml:space="preserve">Gabriela Mistral: </w:t>
            </w:r>
            <w:r>
              <w:rPr>
                <w:b w:val="0"/>
                <w:i w:val="0"/>
                <w:sz w:val="15"/>
              </w:rPr>
              <w:t>“Valle de Elqui”; “Tres árboles”; “El espino”; “Volcán Osorno”</w:t>
            </w:r>
          </w:p>
          <w:p>
            <w:pPr>
              <w:pStyle w:val="ListBullet"/>
              <w:spacing w:after="20"/>
              <w:ind w:left="198" w:hanging="170"/>
            </w:pPr>
            <w:r>
              <w:rPr>
                <w:b/>
                <w:i w:val="0"/>
                <w:sz w:val="15"/>
              </w:rPr>
              <w:t xml:space="preserve">Pablo Neruda: </w:t>
            </w:r>
            <w:r>
              <w:rPr>
                <w:b w:val="0"/>
                <w:i w:val="0"/>
                <w:sz w:val="15"/>
              </w:rPr>
              <w:t>“Oda a la alcachofa”; “Oda al mar”; “Oda al tiempo”</w:t>
            </w:r>
          </w:p>
          <w:p>
            <w:pPr>
              <w:pStyle w:val="ListBullet"/>
              <w:spacing w:after="20"/>
              <w:ind w:left="198" w:hanging="170"/>
            </w:pPr>
            <w:r>
              <w:rPr>
                <w:b/>
                <w:i w:val="0"/>
                <w:sz w:val="15"/>
              </w:rPr>
              <w:t xml:space="preserve">Nicanor Parra: </w:t>
            </w:r>
            <w:r>
              <w:rPr>
                <w:b w:val="0"/>
                <w:i w:val="0"/>
                <w:sz w:val="15"/>
              </w:rPr>
              <w:t>“Defensa del árbol”; “Oda a unas palomas”; “Se canta al mar”</w:t>
            </w:r>
          </w:p>
          <w:p>
            <w:pPr>
              <w:pStyle w:val="ListBullet"/>
              <w:spacing w:after="20"/>
              <w:ind w:left="198" w:hanging="170"/>
            </w:pPr>
            <w:r>
              <w:rPr>
                <w:b/>
                <w:i w:val="0"/>
                <w:sz w:val="15"/>
              </w:rPr>
              <w:t xml:space="preserve">Tecayehuatzin: </w:t>
            </w:r>
            <w:r>
              <w:rPr>
                <w:b w:val="0"/>
                <w:i w:val="0"/>
                <w:sz w:val="15"/>
              </w:rPr>
              <w:t>“Solo las flores son nuestra riqueza”</w:t>
            </w:r>
          </w:p>
          <w:p>
            <w:pPr>
              <w:pStyle w:val="ListBullet"/>
              <w:spacing w:after="20"/>
              <w:ind w:left="198" w:hanging="170"/>
            </w:pPr>
            <w:r>
              <w:rPr>
                <w:b/>
                <w:i w:val="0"/>
                <w:sz w:val="15"/>
              </w:rPr>
              <w:t xml:space="preserve">César Vallejo: </w:t>
            </w:r>
            <w:r>
              <w:rPr>
                <w:b w:val="0"/>
                <w:i w:val="0"/>
                <w:sz w:val="15"/>
              </w:rPr>
              <w:t>“La araña”</w:t>
            </w:r>
          </w:p>
          <w:p>
            <w:pPr>
              <w:pStyle w:val="ListBullet"/>
              <w:spacing w:after="20"/>
              <w:ind w:left="198" w:hanging="170"/>
            </w:pPr>
            <w:r>
              <w:rPr>
                <w:b/>
                <w:i w:val="0"/>
                <w:sz w:val="15"/>
              </w:rPr>
              <w:t xml:space="preserve">William Wordsworth: </w:t>
            </w:r>
            <w:r>
              <w:rPr>
                <w:b w:val="0"/>
                <w:i w:val="0"/>
                <w:sz w:val="15"/>
              </w:rPr>
              <w:t>“Vagué solo como una nube” en Baladas líricas</w:t>
            </w:r>
          </w:p>
        </w:tc>
        <w:tc>
          <w:tcPr>
            <w:tcW w:type="dxa" w:w="4637"/>
          </w:tcPr>
          <w:p>
            <w:r/>
            <w:r>
              <w:rPr>
                <w:b/>
                <w:i w:val="0"/>
                <w:sz w:val="15"/>
              </w:rPr>
              <w:t>Ejemplo 1 (OA 4) · pág. 203</w:t>
            </w:r>
          </w:p>
          <w:p>
            <w:pPr>
              <w:pStyle w:val="ListBullet"/>
              <w:spacing w:after="20"/>
              <w:ind w:left="198" w:hanging="170"/>
            </w:pPr>
            <w:r>
              <w:rPr>
                <w:b w:val="0"/>
                <w:i w:val="0"/>
                <w:sz w:val="15"/>
              </w:rPr>
              <w:t>Explican en sus palabras el poema leído, incluyendo los temas que aborda.</w:t>
            </w:r>
          </w:p>
          <w:p>
            <w:pPr>
              <w:pStyle w:val="ListBullet"/>
              <w:spacing w:after="20"/>
              <w:ind w:left="198" w:hanging="170"/>
            </w:pPr>
            <w:r>
              <w:rPr>
                <w:b w:val="0"/>
                <w:i w:val="0"/>
                <w:sz w:val="15"/>
              </w:rPr>
              <w:t>Explican qué elementos ayudan a recrear un estado de ánimo o identifican versos del poema que lo hacen.</w:t>
            </w:r>
          </w:p>
          <w:p>
            <w:pPr>
              <w:pStyle w:val="ListBullet"/>
              <w:spacing w:after="20"/>
              <w:ind w:left="198" w:hanging="170"/>
            </w:pPr>
            <w:r>
              <w:rPr>
                <w:b w:val="0"/>
                <w:i w:val="0"/>
                <w:sz w:val="15"/>
              </w:rPr>
              <w:t>Explican a qué alude, en términos denotativos y connotativos, un determinado verso.</w:t>
            </w:r>
          </w:p>
          <w:p>
            <w:pPr>
              <w:pStyle w:val="ListBullet"/>
              <w:spacing w:after="20"/>
              <w:ind w:left="198" w:hanging="170"/>
            </w:pPr>
            <w:r>
              <w:rPr>
                <w:b w:val="0"/>
                <w:i w:val="0"/>
                <w:sz w:val="15"/>
              </w:rPr>
              <w:t>Describen el efecto que les produce algún verso en el cual se usa lenguaje figurado.</w:t>
            </w:r>
          </w:p>
          <w:p>
            <w:pPr>
              <w:pStyle w:val="ListBullet"/>
              <w:spacing w:after="20"/>
              <w:ind w:left="198" w:hanging="170"/>
            </w:pPr>
            <w:r>
              <w:rPr>
                <w:b w:val="0"/>
                <w:i w:val="0"/>
                <w:sz w:val="15"/>
              </w:rPr>
              <w:t>Señalan, si los hay, qué elementos sonoros contribuyen al sentido del poema o a crear un ambiente determinado.</w:t>
            </w:r>
          </w:p>
          <w:p>
            <w:pPr>
              <w:pStyle w:val="ListBullet"/>
              <w:spacing w:after="20"/>
              <w:ind w:left="198" w:hanging="170"/>
            </w:pPr>
            <w:r>
              <w:rPr>
                <w:b w:val="0"/>
                <w:i w:val="0"/>
                <w:sz w:val="15"/>
              </w:rPr>
              <w:t>Describen elementos que tiene en común el poema leído con otra lectura abordada durante el año.</w:t>
            </w:r>
          </w:p>
          <w:p>
            <w:pPr>
              <w:pStyle w:val="ListBullet"/>
              <w:spacing w:after="20"/>
              <w:ind w:left="198" w:hanging="170"/>
            </w:pPr>
            <w:r>
              <w:rPr>
                <w:b w:val="0"/>
                <w:i w:val="0"/>
                <w:sz w:val="15"/>
              </w:rPr>
              <w:t>Describen temas en común presentes en dos textos.</w:t>
            </w:r>
          </w:p>
          <w:p>
            <w:r>
              <w:rPr>
                <w:b/>
                <w:i w:val="0"/>
                <w:sz w:val="15"/>
              </w:rPr>
              <w:t>Ejemplo 2 (OA 15) · pág. 204</w:t>
            </w:r>
          </w:p>
          <w:p>
            <w:pPr>
              <w:pStyle w:val="ListBullet"/>
              <w:spacing w:after="20"/>
              <w:ind w:left="198" w:hanging="170"/>
            </w:pPr>
            <w:r>
              <w:rPr>
                <w:b w:val="0"/>
                <w:i w:val="0"/>
                <w:sz w:val="15"/>
              </w:rPr>
              <w:t>Escriben un texto con el fin de persuadir al lector respecto de un tema de interés.</w:t>
            </w:r>
          </w:p>
          <w:p>
            <w:pPr>
              <w:pStyle w:val="ListBullet"/>
              <w:spacing w:after="20"/>
              <w:ind w:left="198" w:hanging="170"/>
            </w:pPr>
            <w:r>
              <w:rPr>
                <w:b w:val="0"/>
                <w:i w:val="0"/>
                <w:sz w:val="15"/>
              </w:rPr>
              <w:t>Usan de manera pertinente la estructura del género elegido para escribir.</w:t>
            </w:r>
          </w:p>
          <w:p>
            <w:pPr>
              <w:pStyle w:val="ListBullet"/>
              <w:spacing w:after="20"/>
              <w:ind w:left="198" w:hanging="170"/>
            </w:pPr>
            <w:r>
              <w:rPr>
                <w:b w:val="0"/>
                <w:i w:val="0"/>
                <w:sz w:val="15"/>
              </w:rPr>
              <w:t>Mencionan su postura frente al tema, al principio del texto, y la sustentan con argumentos.</w:t>
            </w:r>
          </w:p>
          <w:p>
            <w:pPr>
              <w:pStyle w:val="ListBullet"/>
              <w:spacing w:after="20"/>
              <w:ind w:left="198" w:hanging="170"/>
            </w:pPr>
            <w:r>
              <w:rPr>
                <w:b w:val="0"/>
                <w:i w:val="0"/>
                <w:sz w:val="15"/>
              </w:rPr>
              <w:t>Usan evidencias e información que se relaciona directamente con los argumentos utilizados.</w:t>
            </w:r>
          </w:p>
          <w:p>
            <w:pPr>
              <w:pStyle w:val="ListBullet"/>
              <w:spacing w:after="20"/>
              <w:ind w:left="198" w:hanging="170"/>
            </w:pPr>
            <w:r>
              <w:rPr>
                <w:b w:val="0"/>
                <w:i w:val="0"/>
                <w:sz w:val="15"/>
              </w:rPr>
              <w:t>Fundamentan su postura, usando citas de un texto (literario o no literario), ejemplos, conocimientos previos sobre el tema, etc.</w:t>
            </w:r>
          </w:p>
          <w:p>
            <w:pPr>
              <w:pStyle w:val="ListBullet"/>
              <w:spacing w:after="20"/>
              <w:ind w:left="198" w:hanging="170"/>
            </w:pPr>
            <w:r>
              <w:rPr>
                <w:b w:val="0"/>
                <w:i w:val="0"/>
                <w:sz w:val="15"/>
              </w:rPr>
              <w:t>Escriben textos en los que cada uno de los párrafos contribuye a llevar a cabo el propósito de persuadir.</w:t>
            </w:r>
          </w:p>
          <w:p>
            <w:pPr>
              <w:pStyle w:val="ListBullet"/>
              <w:spacing w:after="20"/>
              <w:ind w:left="198" w:hanging="170"/>
            </w:pPr>
            <w:r>
              <w:rPr>
                <w:b w:val="0"/>
                <w:i w:val="0"/>
                <w:sz w:val="15"/>
              </w:rPr>
              <w:t>Escriben textos en los que cada uno de los párrafos aborda un tema que se relaciona directamente con la postura que se quiere transmitir.</w:t>
            </w:r>
          </w:p>
          <w:p>
            <w:pPr>
              <w:pStyle w:val="ListBullet"/>
              <w:spacing w:after="20"/>
              <w:ind w:left="198" w:hanging="170"/>
            </w:pPr>
            <w:r>
              <w:rPr>
                <w:b w:val="0"/>
                <w:i w:val="0"/>
                <w:sz w:val="15"/>
              </w:rPr>
              <w:t>Escriben textos en los que cada oración contribuye a desarrollar la idea central del párrafo.</w:t>
            </w:r>
          </w:p>
        </w:tc>
        <w:tc>
          <w:tcPr>
            <w:tcW w:type="dxa" w:w="1474"/>
          </w:tcPr>
          <w:p>
            <w:r/>
            <w:r>
              <w:rPr>
                <w:b/>
                <w:i w:val="0"/>
                <w:sz w:val="15"/>
              </w:rPr>
              <w:t xml:space="preserve">OA A: </w:t>
            </w:r>
            <w:r>
              <w:rPr>
                <w:b w:val="0"/>
                <w:i w:val="0"/>
                <w:sz w:val="15"/>
              </w:rPr>
              <w:t>Manifestar disposición a formarse un pensamiento propio, reflexivo e informado, mediante una lectura crítica y el diálogo con otros.</w:t>
            </w:r>
          </w:p>
          <w:p>
            <w:r>
              <w:rPr>
                <w:b/>
                <w:i w:val="0"/>
                <w:sz w:val="15"/>
              </w:rPr>
              <w:t xml:space="preserve">OA C: </w:t>
            </w:r>
            <w:r>
              <w:rPr>
                <w:b w:val="0"/>
                <w:i w:val="0"/>
                <w:sz w:val="15"/>
              </w:rPr>
              <w:t>Interesarse por comprender las experiencias e ideas de los demás, utilizando la lectura y el diálogo para el enriquecimiento personal y para la construcción de buenas relaciones con los demás.</w:t>
            </w:r>
          </w:p>
          <w:p>
            <w:r>
              <w:rPr>
                <w:b/>
                <w:i w:val="0"/>
                <w:sz w:val="15"/>
              </w:rPr>
              <w:t xml:space="preserve">OA D: </w:t>
            </w:r>
            <w:r>
              <w:rPr>
                <w:b w:val="0"/>
                <w:i w:val="0"/>
                <w:sz w:val="15"/>
              </w:rPr>
              <w:t>Valorar la diversidad de perspectivas, creencias y culturas, presentes en su entorno y el mundo, como manifestación de la libertad, creatividad y dignidad humana.</w:t>
            </w:r>
          </w:p>
        </w:tc>
        <w:tc>
          <w:tcPr>
            <w:tcW w:type="dxa" w:w="1871"/>
          </w:tcPr>
          <w:p>
            <w:r/>
            <w:r>
              <w:rPr>
                <w:b/>
                <w:i w:val="0"/>
                <w:sz w:val="15"/>
              </w:rPr>
              <w:t xml:space="preserve">Formativa. </w:t>
            </w:r>
            <w:r>
              <w:rPr>
                <w:b/>
                <w:i/>
                <w:color w:val="595959"/>
                <w:sz w:val="15"/>
              </w:rPr>
              <w:t xml:space="preserve">Sugerencia — revisar: </w:t>
            </w:r>
            <w:r>
              <w:rPr>
                <w:b w:val="0"/>
                <w:i/>
                <w:color w:val="595959"/>
                <w:sz w:val="15"/>
              </w:rPr>
              <w:t>Bitácora de lectura revisada periódicamente; retroalimentación oral en conversaciones sobre la relación entre las personas y la naturaleza.</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Ejemplo 1: </w:t>
            </w:r>
            <w:r>
              <w:rPr>
                <w:b w:val="0"/>
                <w:i w:val="0"/>
                <w:sz w:val="15"/>
              </w:rPr>
              <w:t>El docente pide a los estudiantes que lean en parejas la poesía “La araña” de César Vallejo. Instrumento: Criterios de Evaluación. (pág. 203)</w:t>
            </w:r>
          </w:p>
          <w:p>
            <w:pPr>
              <w:pStyle w:val="ListBullet"/>
              <w:spacing w:after="20"/>
              <w:ind w:left="198" w:hanging="170"/>
            </w:pPr>
            <w:r>
              <w:rPr>
                <w:b/>
                <w:i w:val="0"/>
                <w:sz w:val="15"/>
              </w:rPr>
              <w:t xml:space="preserve">Ejemplo 2: </w:t>
            </w:r>
            <w:r>
              <w:rPr>
                <w:b w:val="0"/>
                <w:i w:val="0"/>
                <w:sz w:val="15"/>
              </w:rPr>
              <w:t>Los estudiantes elaboran una antología poética en la que incluyen al menos cinco poemas de diferentes autores que traten el tema de la naturaleza. (pág. 204)</w:t>
            </w:r>
          </w:p>
        </w:tc>
        <w:tc>
          <w:tcPr>
            <w:tcW w:type="dxa" w:w="1247"/>
          </w:tcPr>
          <w:p>
            <w:r/>
            <w:r>
              <w:rPr>
                <w:b/>
                <w:i/>
                <w:color w:val="595959"/>
                <w:sz w:val="15"/>
              </w:rPr>
              <w:t xml:space="preserve">Sugerencia — revisar: </w:t>
            </w:r>
            <w:r>
              <w:rPr>
                <w:b w:val="0"/>
                <w:i/>
                <w:color w:val="595959"/>
                <w:sz w:val="15"/>
              </w:rPr>
              <w:t>Textos literarios y no literarios sobre naturaleza, incluidos textos y paisajes de la región y de otras zonas de Chile; fotografías; procesador de textos.</w:t>
            </w:r>
          </w:p>
        </w:tc>
      </w:tr>
      <w:tr>
        <w:tc>
          <w:tcPr>
            <w:tcW w:type="dxa" w:w="1757"/>
          </w:tcPr>
          <w:p>
            <w:r/>
            <w:r>
              <w:rPr>
                <w:b/>
                <w:i w:val="0"/>
                <w:sz w:val="16"/>
              </w:rPr>
              <w:t>Unidad 5</w:t>
            </w:r>
          </w:p>
          <w:p>
            <w:r>
              <w:rPr>
                <w:b/>
                <w:i w:val="0"/>
                <w:sz w:val="16"/>
              </w:rPr>
              <w:t>La comedia</w:t>
            </w:r>
          </w:p>
          <w:p>
            <w:r>
              <w:rPr>
                <w:b w:val="0"/>
                <w:i w:val="0"/>
                <w:sz w:val="15"/>
              </w:rPr>
              <w:t>El propósito de esta unidad es que los estudiantes reflexionen en torno al tema “La comedia” y se introduzcan en el género dramático, a partir de la lectura de buenos ejemplos.</w:t>
            </w:r>
          </w:p>
          <w:p>
            <w:r>
              <w:rPr>
                <w:b w:val="0"/>
                <w:i w:val="0"/>
                <w:color w:val="595959"/>
                <w:sz w:val="14"/>
              </w:rPr>
              <w:t>Programa, págs. 208–240</w:t>
            </w:r>
          </w:p>
        </w:tc>
        <w:tc>
          <w:tcPr>
            <w:tcW w:type="dxa" w:w="1134"/>
          </w:tcPr>
          <w:p>
            <w:r/>
            <w:r>
              <w:rPr>
                <w:b/>
                <w:i w:val="0"/>
                <w:sz w:val="15"/>
              </w:rPr>
              <w:t>Semestre 2</w:t>
            </w:r>
          </w:p>
          <w:p>
            <w:r>
              <w:rPr>
                <w:b w:val="0"/>
                <w:i w:val="0"/>
                <w:sz w:val="15"/>
              </w:rPr>
              <w:t>32 h pedagógicas</w:t>
            </w:r>
          </w:p>
          <w:p>
            <w:r>
              <w:rPr>
                <w:b w:val="0"/>
                <w:i w:val="0"/>
                <w:color w:val="595959"/>
                <w:sz w:val="15"/>
              </w:rPr>
              <w:t>Semanas 20 a 25</w:t>
            </w:r>
          </w:p>
        </w:tc>
        <w:tc>
          <w:tcPr>
            <w:tcW w:type="dxa" w:w="1134"/>
          </w:tcPr>
          <w:p>
            <w:r/>
            <w:r>
              <w:rPr>
                <w:b/>
                <w:i w:val="0"/>
                <w:sz w:val="15"/>
              </w:rPr>
              <w:t>OA 1, OA 2, OA 5, OA 7, OA 8, OA 11, OA 14, OA 16, OA 20, OA 22</w:t>
            </w:r>
          </w:p>
          <w:p>
            <w:r>
              <w:rPr>
                <w:b w:val="0"/>
                <w:i w:val="0"/>
                <w:color w:val="595959"/>
                <w:sz w:val="14"/>
              </w:rPr>
              <w:t>(texto en Anexo G)</w:t>
            </w:r>
          </w:p>
          <w:p>
            <w:r>
              <w:rPr>
                <w:b w:val="0"/>
                <w:i w:val="0"/>
                <w:sz w:val="14"/>
              </w:rPr>
              <w:t>Evaluados en los ejemplos del Programa:</w:t>
            </w:r>
          </w:p>
          <w:p>
            <w:r>
              <w:rPr>
                <w:b/>
                <w:i w:val="0"/>
                <w:sz w:val="15"/>
              </w:rPr>
              <w:t>OA 5, OA 7, OA 8</w:t>
            </w:r>
          </w:p>
        </w:tc>
        <w:tc>
          <w:tcPr>
            <w:tcW w:type="dxa" w:w="3413"/>
          </w:tcPr>
          <w:p>
            <w:r/>
            <w:r>
              <w:rPr>
                <w:b/>
                <w:i w:val="0"/>
                <w:sz w:val="15"/>
              </w:rPr>
              <w:t>Lecturas sugeridas (Programa, pág. 209)</w:t>
            </w:r>
          </w:p>
          <w:p>
            <w:pPr>
              <w:pStyle w:val="ListBullet"/>
              <w:spacing w:after="20"/>
              <w:ind w:left="198" w:hanging="170"/>
            </w:pPr>
            <w:r>
              <w:rPr>
                <w:b/>
                <w:i w:val="0"/>
                <w:sz w:val="15"/>
              </w:rPr>
              <w:t xml:space="preserve">Isidora Aguirre: </w:t>
            </w:r>
            <w:r>
              <w:rPr>
                <w:b w:val="0"/>
                <w:i w:val="0"/>
                <w:sz w:val="15"/>
              </w:rPr>
              <w:t>Don Anacleto Avaro</w:t>
            </w:r>
          </w:p>
          <w:p>
            <w:pPr>
              <w:pStyle w:val="ListBullet"/>
              <w:spacing w:after="20"/>
              <w:ind w:left="198" w:hanging="170"/>
            </w:pPr>
            <w:r>
              <w:rPr>
                <w:b/>
                <w:i w:val="0"/>
                <w:sz w:val="15"/>
              </w:rPr>
              <w:t xml:space="preserve">Daniel Barros Grez: </w:t>
            </w:r>
            <w:r>
              <w:rPr>
                <w:b w:val="0"/>
                <w:i w:val="0"/>
                <w:sz w:val="15"/>
              </w:rPr>
              <w:t>Como en Santiago</w:t>
            </w:r>
          </w:p>
          <w:p>
            <w:pPr>
              <w:pStyle w:val="ListBullet"/>
              <w:spacing w:after="20"/>
              <w:ind w:left="198" w:hanging="170"/>
            </w:pPr>
            <w:r>
              <w:rPr>
                <w:b/>
                <w:i w:val="0"/>
                <w:sz w:val="15"/>
              </w:rPr>
              <w:t xml:space="preserve">Alejandro Casona: </w:t>
            </w:r>
            <w:r>
              <w:rPr>
                <w:b w:val="0"/>
                <w:i w:val="0"/>
                <w:sz w:val="15"/>
              </w:rPr>
              <w:t>Entremés del mancebo que casó con mujer brava</w:t>
            </w:r>
          </w:p>
          <w:p>
            <w:pPr>
              <w:pStyle w:val="ListBullet"/>
              <w:spacing w:after="20"/>
              <w:ind w:left="198" w:hanging="170"/>
            </w:pPr>
            <w:r>
              <w:rPr>
                <w:b/>
                <w:i w:val="0"/>
                <w:sz w:val="15"/>
              </w:rPr>
              <w:t xml:space="preserve">Arcipreste de Hita: </w:t>
            </w:r>
            <w:r>
              <w:rPr>
                <w:b w:val="0"/>
                <w:i w:val="0"/>
                <w:sz w:val="15"/>
              </w:rPr>
              <w:t>“Ejemplo de lo que aconteció a don Pitas Payas, pintor de Bretaña” en Libro de buen amor</w:t>
            </w:r>
          </w:p>
          <w:p>
            <w:pPr>
              <w:pStyle w:val="ListBullet"/>
              <w:spacing w:after="20"/>
              <w:ind w:left="198" w:hanging="170"/>
            </w:pPr>
            <w:r>
              <w:rPr>
                <w:b/>
                <w:i w:val="0"/>
                <w:sz w:val="15"/>
              </w:rPr>
              <w:t xml:space="preserve">Molière: </w:t>
            </w:r>
            <w:r>
              <w:rPr>
                <w:b w:val="0"/>
                <w:i w:val="0"/>
                <w:sz w:val="15"/>
              </w:rPr>
              <w:t>El avaro; El enfermo imaginario</w:t>
            </w:r>
          </w:p>
          <w:p>
            <w:pPr>
              <w:pStyle w:val="ListBullet"/>
              <w:spacing w:after="20"/>
              <w:ind w:left="198" w:hanging="170"/>
            </w:pPr>
            <w:r>
              <w:rPr>
                <w:b/>
                <w:i w:val="0"/>
                <w:sz w:val="15"/>
              </w:rPr>
              <w:t xml:space="preserve">Plauto: </w:t>
            </w:r>
            <w:r>
              <w:rPr>
                <w:b w:val="0"/>
                <w:i w:val="0"/>
                <w:sz w:val="15"/>
              </w:rPr>
              <w:t>La olla</w:t>
            </w:r>
          </w:p>
          <w:p>
            <w:pPr>
              <w:pStyle w:val="ListBullet"/>
              <w:spacing w:after="20"/>
              <w:ind w:left="198" w:hanging="170"/>
            </w:pPr>
            <w:r>
              <w:rPr>
                <w:b/>
                <w:i w:val="0"/>
                <w:sz w:val="15"/>
              </w:rPr>
              <w:t xml:space="preserve">William Shakespeare: </w:t>
            </w:r>
            <w:r>
              <w:rPr>
                <w:b w:val="0"/>
                <w:i w:val="0"/>
                <w:sz w:val="15"/>
              </w:rPr>
              <w:t>La fierecilla domada</w:t>
            </w:r>
          </w:p>
        </w:tc>
        <w:tc>
          <w:tcPr>
            <w:tcW w:type="dxa" w:w="4637"/>
          </w:tcPr>
          <w:p>
            <w:r/>
            <w:r>
              <w:rPr>
                <w:b/>
                <w:i w:val="0"/>
                <w:sz w:val="15"/>
              </w:rPr>
              <w:t>Ejemplo 1 (OA 5) · pág. 238</w:t>
            </w:r>
          </w:p>
          <w:p>
            <w:pPr>
              <w:pStyle w:val="ListBullet"/>
              <w:spacing w:after="20"/>
              <w:ind w:left="198" w:hanging="170"/>
            </w:pPr>
            <w:r>
              <w:rPr>
                <w:b w:val="0"/>
                <w:i w:val="0"/>
                <w:sz w:val="15"/>
              </w:rPr>
              <w:t>Explican el o los conflictos que tienen los personajes principales de la obra.</w:t>
            </w:r>
          </w:p>
          <w:p>
            <w:pPr>
              <w:pStyle w:val="ListBullet"/>
              <w:spacing w:after="20"/>
              <w:ind w:left="198" w:hanging="170"/>
            </w:pPr>
            <w:r>
              <w:rPr>
                <w:b w:val="0"/>
                <w:i w:val="0"/>
                <w:sz w:val="15"/>
              </w:rPr>
              <w:t>Comparan las situaciones presentadas en la obra de teatro con sus propias experiencias.</w:t>
            </w:r>
          </w:p>
          <w:p>
            <w:pPr>
              <w:pStyle w:val="ListBullet"/>
              <w:spacing w:after="20"/>
              <w:ind w:left="198" w:hanging="170"/>
            </w:pPr>
            <w:r>
              <w:rPr>
                <w:b w:val="0"/>
                <w:i w:val="0"/>
                <w:sz w:val="15"/>
              </w:rPr>
              <w:t>Explican cómo las acciones o dichos de un personaje conducen al desenlace de la obra.</w:t>
            </w:r>
          </w:p>
          <w:p>
            <w:pPr>
              <w:pStyle w:val="ListBullet"/>
              <w:spacing w:after="20"/>
              <w:ind w:left="198" w:hanging="170"/>
            </w:pPr>
            <w:r>
              <w:rPr>
                <w:b w:val="0"/>
                <w:i w:val="0"/>
                <w:sz w:val="15"/>
              </w:rPr>
              <w:t>Explican cómo las acciones o dichos de un personaje afectan a otro.</w:t>
            </w:r>
          </w:p>
          <w:p>
            <w:pPr>
              <w:pStyle w:val="ListBullet"/>
              <w:spacing w:after="20"/>
              <w:ind w:left="198" w:hanging="170"/>
            </w:pPr>
            <w:r>
              <w:rPr>
                <w:b w:val="0"/>
                <w:i w:val="0"/>
                <w:sz w:val="15"/>
              </w:rPr>
              <w:t>Identifican en las obras leídas, si estas lo permiten, personajes tipo que tienen características constantes en la literatura; por ejemplo: el avaro o el hipocondriaco.</w:t>
            </w:r>
          </w:p>
          <w:p>
            <w:pPr>
              <w:pStyle w:val="ListBullet"/>
              <w:spacing w:after="20"/>
              <w:ind w:left="198" w:hanging="170"/>
            </w:pPr>
            <w:r>
              <w:rPr>
                <w:b w:val="0"/>
                <w:i w:val="0"/>
                <w:sz w:val="15"/>
              </w:rPr>
              <w:t>Identifican símbolos en la obra y ofrecen una interpretación</w:t>
            </w:r>
          </w:p>
          <w:p>
            <w:pPr>
              <w:pStyle w:val="ListBullet"/>
              <w:spacing w:after="20"/>
              <w:ind w:left="198" w:hanging="170"/>
            </w:pPr>
            <w:r>
              <w:rPr>
                <w:b w:val="0"/>
                <w:i w:val="0"/>
                <w:sz w:val="15"/>
              </w:rPr>
              <w:t>Explican cuáles son las características del género dramático.</w:t>
            </w:r>
          </w:p>
          <w:p>
            <w:pPr>
              <w:pStyle w:val="ListBullet"/>
              <w:spacing w:after="20"/>
              <w:ind w:left="198" w:hanging="170"/>
            </w:pPr>
            <w:r>
              <w:rPr>
                <w:b w:val="0"/>
                <w:i w:val="0"/>
                <w:sz w:val="15"/>
              </w:rPr>
              <w:t>Explican las diferencias entre obra dramática y obra teatral.</w:t>
            </w:r>
          </w:p>
          <w:p>
            <w:pPr>
              <w:pStyle w:val="ListBullet"/>
              <w:spacing w:after="20"/>
              <w:ind w:left="198" w:hanging="170"/>
            </w:pPr>
            <w:r>
              <w:rPr>
                <w:b w:val="0"/>
                <w:i w:val="0"/>
                <w:sz w:val="15"/>
              </w:rPr>
              <w:t>Describen elementos que tiene en común la obra leída con otra lectura abordada durante el año.</w:t>
            </w:r>
          </w:p>
          <w:p>
            <w:pPr>
              <w:pStyle w:val="ListBullet"/>
              <w:spacing w:after="20"/>
              <w:ind w:left="198" w:hanging="170"/>
            </w:pPr>
            <w:r>
              <w:rPr>
                <w:b w:val="0"/>
                <w:i w:val="0"/>
                <w:sz w:val="15"/>
              </w:rPr>
              <w:t>Describen temas en común entre una obra leída y otro texto.</w:t>
            </w:r>
          </w:p>
          <w:p>
            <w:r>
              <w:rPr>
                <w:b/>
                <w:i w:val="0"/>
                <w:sz w:val="15"/>
              </w:rPr>
              <w:t>Ejemplo 2 (OA 7, OA 8) · pág. 240</w:t>
            </w:r>
          </w:p>
          <w:p>
            <w:pPr>
              <w:pStyle w:val="ListBullet"/>
              <w:spacing w:after="20"/>
              <w:ind w:left="198" w:hanging="170"/>
            </w:pPr>
            <w:r>
              <w:rPr>
                <w:b w:val="0"/>
                <w:i w:val="0"/>
                <w:sz w:val="15"/>
              </w:rPr>
              <w:t>Ejemplifican qué elementos de la época en que fue creada la obra se reflejan en la misma</w:t>
            </w:r>
          </w:p>
          <w:p>
            <w:pPr>
              <w:pStyle w:val="ListBullet"/>
              <w:spacing w:after="20"/>
              <w:ind w:left="198" w:hanging="170"/>
            </w:pPr>
            <w:r>
              <w:rPr>
                <w:b w:val="0"/>
                <w:i w:val="0"/>
                <w:sz w:val="15"/>
              </w:rPr>
              <w:t>Ofrecen una interpretación del texto leído que aborda temas que van más allá de lo literal o de un mero resumen.</w:t>
            </w:r>
          </w:p>
          <w:p>
            <w:pPr>
              <w:pStyle w:val="ListBullet"/>
              <w:spacing w:after="20"/>
              <w:ind w:left="198" w:hanging="170"/>
            </w:pPr>
            <w:r>
              <w:rPr>
                <w:b w:val="0"/>
                <w:i w:val="0"/>
                <w:sz w:val="15"/>
              </w:rPr>
              <w:t>Explican cómo algunos elementos del contexto histórico influyen en la obra leída.</w:t>
            </w:r>
          </w:p>
          <w:p>
            <w:pPr>
              <w:pStyle w:val="ListBullet"/>
              <w:spacing w:after="20"/>
              <w:ind w:left="198" w:hanging="170"/>
            </w:pPr>
            <w:r>
              <w:rPr>
                <w:b w:val="0"/>
                <w:i w:val="0"/>
                <w:sz w:val="15"/>
              </w:rPr>
              <w:t>Explican algún aspecto de la obra, considerando el momento histórico en el que se ambienta o fue creada.</w:t>
            </w:r>
          </w:p>
        </w:tc>
        <w:tc>
          <w:tcPr>
            <w:tcW w:type="dxa" w:w="1474"/>
          </w:tcPr>
          <w:p>
            <w:r/>
            <w:r>
              <w:rPr>
                <w:b/>
                <w:i w:val="0"/>
                <w:sz w:val="15"/>
              </w:rPr>
              <w:t xml:space="preserve">OA A: </w:t>
            </w:r>
            <w:r>
              <w:rPr>
                <w:b w:val="0"/>
                <w:i w:val="0"/>
                <w:sz w:val="15"/>
              </w:rPr>
              <w:t>Manifestar disposición a formarse un pensamiento propio, reflexivo e informado, mediante una lectura crítica y el diálogo con otros.</w:t>
            </w:r>
          </w:p>
          <w:p>
            <w:r>
              <w:rPr>
                <w:b/>
                <w:i w:val="0"/>
                <w:sz w:val="15"/>
              </w:rPr>
              <w:t xml:space="preserve">OA B: </w:t>
            </w:r>
            <w:r>
              <w:rPr>
                <w:b w:val="0"/>
                <w:i w:val="0"/>
                <w:sz w:val="15"/>
              </w:rPr>
              <w:t>Manifestar una disposición a reflexionar sobre sí mismo y sobre las cuestiones sociales y éticas que emanan de las lecturas.</w:t>
            </w:r>
          </w:p>
          <w:p>
            <w:r>
              <w:rPr>
                <w:b/>
                <w:i w:val="0"/>
                <w:sz w:val="15"/>
              </w:rPr>
              <w:t xml:space="preserve">OA D: </w:t>
            </w:r>
            <w:r>
              <w:rPr>
                <w:b w:val="0"/>
                <w:i w:val="0"/>
                <w:sz w:val="15"/>
              </w:rPr>
              <w:t>Valorar la diversidad de perspectivas, creencias y culturas, presentes en su entorno y el mundo, como manifestación de la libertad, creatividad y dignidad humana.</w:t>
            </w:r>
          </w:p>
        </w:tc>
        <w:tc>
          <w:tcPr>
            <w:tcW w:type="dxa" w:w="1871"/>
          </w:tcPr>
          <w:p>
            <w:r/>
            <w:r>
              <w:rPr>
                <w:b/>
                <w:i w:val="0"/>
                <w:sz w:val="15"/>
              </w:rPr>
              <w:t xml:space="preserve">Formativa. </w:t>
            </w:r>
            <w:r>
              <w:rPr>
                <w:b/>
                <w:i/>
                <w:color w:val="595959"/>
                <w:sz w:val="15"/>
              </w:rPr>
              <w:t xml:space="preserve">Sugerencia — revisar: </w:t>
            </w:r>
            <w:r>
              <w:rPr>
                <w:b w:val="0"/>
                <w:i/>
                <w:color w:val="595959"/>
                <w:sz w:val="15"/>
              </w:rPr>
              <w:t>Lectura dramatizada con pauta de expresión oral; preguntas de análisis sobre personajes y situaciones cómicas.</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Ejemplo 1: </w:t>
            </w:r>
            <w:r>
              <w:rPr>
                <w:b w:val="0"/>
                <w:i w:val="0"/>
                <w:sz w:val="15"/>
              </w:rPr>
              <w:t>Análisis de La fierecilla domada de Shakespeare Una vez que los estudiantes han leído el primer acto de La fierecilla domada, completan la siguiente guía por escrito: - ¿Cómo se presenta a Catalina? ¿Qué palabras se usan para describirla? - ¿Qué prejuicios sociales expresan Hortencio y Gremio? Justifique su respuesta con ejemplos del texto. Instrumento: Pauta de evaluación. (pág. 238)</w:t>
            </w:r>
          </w:p>
          <w:p>
            <w:pPr>
              <w:pStyle w:val="ListBullet"/>
              <w:spacing w:after="20"/>
              <w:ind w:left="198" w:hanging="170"/>
            </w:pPr>
            <w:r>
              <w:rPr>
                <w:b/>
                <w:i w:val="0"/>
                <w:sz w:val="15"/>
              </w:rPr>
              <w:t xml:space="preserve">Ejemplo 2: </w:t>
            </w:r>
            <w:r>
              <w:rPr>
                <w:b w:val="0"/>
                <w:i w:val="0"/>
                <w:sz w:val="15"/>
              </w:rPr>
              <w:t>El papel de la mujer en una obra de Shakespeare El docente pide analizar las características de los personajes femeninos en La fierecilla domada. Instrumento: Criterios de Evaluación. (pág. 240)</w:t>
            </w:r>
          </w:p>
        </w:tc>
        <w:tc>
          <w:tcPr>
            <w:tcW w:type="dxa" w:w="1247"/>
          </w:tcPr>
          <w:p>
            <w:r/>
            <w:r>
              <w:rPr>
                <w:b/>
                <w:i/>
                <w:color w:val="595959"/>
                <w:sz w:val="15"/>
              </w:rPr>
              <w:t xml:space="preserve">Sugerencia — revisar: </w:t>
            </w:r>
            <w:r>
              <w:rPr>
                <w:b w:val="0"/>
                <w:i/>
                <w:color w:val="595959"/>
                <w:sz w:val="15"/>
              </w:rPr>
              <w:t>Comedias sugeridas o fragmentos; espacio para dramatización; grabaciones de obras teatrales.</w:t>
            </w:r>
          </w:p>
        </w:tc>
      </w:tr>
      <w:tr>
        <w:tc>
          <w:tcPr>
            <w:tcW w:type="dxa" w:w="1757"/>
          </w:tcPr>
          <w:p>
            <w:r/>
            <w:r>
              <w:rPr>
                <w:b/>
                <w:i w:val="0"/>
                <w:sz w:val="16"/>
              </w:rPr>
              <w:t>Unidad 6</w:t>
            </w:r>
          </w:p>
          <w:p>
            <w:r>
              <w:rPr>
                <w:b/>
                <w:i w:val="0"/>
                <w:sz w:val="16"/>
              </w:rPr>
              <w:t>El mundo descabellado</w:t>
            </w:r>
          </w:p>
          <w:p>
            <w:r>
              <w:rPr>
                <w:b w:val="0"/>
                <w:i w:val="0"/>
                <w:sz w:val="15"/>
              </w:rPr>
              <w:t>El propósito de esta unidad es que los estudiantes reflexionen en torno al tema “El mundo descabellado”.</w:t>
            </w:r>
          </w:p>
          <w:p>
            <w:r>
              <w:rPr>
                <w:b w:val="0"/>
                <w:i w:val="0"/>
                <w:color w:val="595959"/>
                <w:sz w:val="14"/>
              </w:rPr>
              <w:t>Programa, págs. 241–274</w:t>
            </w:r>
          </w:p>
        </w:tc>
        <w:tc>
          <w:tcPr>
            <w:tcW w:type="dxa" w:w="1134"/>
          </w:tcPr>
          <w:p>
            <w:r/>
            <w:r>
              <w:rPr>
                <w:b/>
                <w:i w:val="0"/>
                <w:sz w:val="15"/>
              </w:rPr>
              <w:t>Semestre 2</w:t>
            </w:r>
          </w:p>
          <w:p>
            <w:r>
              <w:rPr>
                <w:b w:val="0"/>
                <w:i w:val="0"/>
                <w:sz w:val="15"/>
              </w:rPr>
              <w:t>30 h pedagógicas</w:t>
            </w:r>
          </w:p>
          <w:p>
            <w:r>
              <w:rPr>
                <w:b w:val="0"/>
                <w:i w:val="0"/>
                <w:color w:val="595959"/>
                <w:sz w:val="15"/>
              </w:rPr>
              <w:t>Semanas 26 a 31</w:t>
            </w:r>
          </w:p>
        </w:tc>
        <w:tc>
          <w:tcPr>
            <w:tcW w:type="dxa" w:w="1134"/>
          </w:tcPr>
          <w:p>
            <w:r/>
            <w:r>
              <w:rPr>
                <w:b/>
                <w:i w:val="0"/>
                <w:sz w:val="15"/>
              </w:rPr>
              <w:t>OA 1, OA 2, OA 3, OA 8, OA 9, OA 11, OA 15, OA 16, OA 22</w:t>
            </w:r>
          </w:p>
          <w:p>
            <w:r>
              <w:rPr>
                <w:b w:val="0"/>
                <w:i w:val="0"/>
                <w:color w:val="595959"/>
                <w:sz w:val="14"/>
              </w:rPr>
              <w:t>(texto en Anexo G)</w:t>
            </w:r>
          </w:p>
          <w:p>
            <w:r>
              <w:rPr>
                <w:b w:val="0"/>
                <w:i w:val="0"/>
                <w:sz w:val="14"/>
              </w:rPr>
              <w:t>Evaluados en los ejemplos del Programa:</w:t>
            </w:r>
          </w:p>
          <w:p>
            <w:r>
              <w:rPr>
                <w:b/>
                <w:i w:val="0"/>
                <w:sz w:val="15"/>
              </w:rPr>
              <w:t>OA 9, OA 22</w:t>
            </w:r>
          </w:p>
        </w:tc>
        <w:tc>
          <w:tcPr>
            <w:tcW w:type="dxa" w:w="3413"/>
          </w:tcPr>
          <w:p>
            <w:r/>
            <w:r>
              <w:rPr>
                <w:b/>
                <w:i w:val="0"/>
                <w:sz w:val="15"/>
              </w:rPr>
              <w:t>Lecturas sugeridas (Programa, pág. 242)</w:t>
            </w:r>
          </w:p>
          <w:p>
            <w:pPr>
              <w:pStyle w:val="ListBullet"/>
              <w:spacing w:after="20"/>
              <w:ind w:left="198" w:hanging="170"/>
            </w:pPr>
            <w:r>
              <w:rPr>
                <w:b w:val="0"/>
                <w:i w:val="0"/>
                <w:sz w:val="15"/>
              </w:rPr>
              <w:t>Richard Bachman</w:t>
            </w:r>
          </w:p>
          <w:p>
            <w:pPr>
              <w:pStyle w:val="ListBullet"/>
              <w:spacing w:after="20"/>
              <w:ind w:left="198" w:hanging="170"/>
            </w:pPr>
            <w:r>
              <w:rPr>
                <w:b/>
                <w:i w:val="0"/>
                <w:sz w:val="15"/>
              </w:rPr>
              <w:t xml:space="preserve">(Stephen King): </w:t>
            </w:r>
            <w:r>
              <w:rPr>
                <w:b w:val="0"/>
                <w:i w:val="0"/>
                <w:sz w:val="15"/>
              </w:rPr>
              <w:t>El fugitivo</w:t>
            </w:r>
          </w:p>
          <w:p>
            <w:pPr>
              <w:pStyle w:val="ListBullet"/>
              <w:spacing w:after="20"/>
              <w:ind w:left="198" w:hanging="170"/>
            </w:pPr>
            <w:r>
              <w:rPr>
                <w:b/>
                <w:i w:val="0"/>
                <w:sz w:val="15"/>
              </w:rPr>
              <w:t xml:space="preserve">Isaac Bashevis Singer: </w:t>
            </w:r>
            <w:r>
              <w:rPr>
                <w:b w:val="0"/>
                <w:i w:val="0"/>
                <w:sz w:val="15"/>
              </w:rPr>
              <w:t>Cuentos judíos de la aldea de Chelm</w:t>
            </w:r>
          </w:p>
          <w:p>
            <w:pPr>
              <w:pStyle w:val="ListBullet"/>
              <w:spacing w:after="20"/>
              <w:ind w:left="198" w:hanging="170"/>
            </w:pPr>
            <w:r>
              <w:rPr>
                <w:b/>
                <w:i w:val="0"/>
                <w:sz w:val="15"/>
              </w:rPr>
              <w:t xml:space="preserve">Ray Bradbury: </w:t>
            </w:r>
            <w:r>
              <w:rPr>
                <w:b w:val="0"/>
                <w:i w:val="0"/>
                <w:sz w:val="15"/>
              </w:rPr>
              <w:t>“Vendrán las lluvias suaves”</w:t>
            </w:r>
          </w:p>
          <w:p>
            <w:pPr>
              <w:pStyle w:val="ListBullet"/>
              <w:spacing w:after="20"/>
              <w:ind w:left="198" w:hanging="170"/>
            </w:pPr>
            <w:r>
              <w:rPr>
                <w:b/>
                <w:i w:val="0"/>
                <w:sz w:val="15"/>
              </w:rPr>
              <w:t xml:space="preserve">Tim Burton: </w:t>
            </w:r>
            <w:r>
              <w:rPr>
                <w:b w:val="0"/>
                <w:i w:val="0"/>
                <w:sz w:val="15"/>
              </w:rPr>
              <w:t>La melancólica muerte del chico Ostra</w:t>
            </w:r>
          </w:p>
          <w:p>
            <w:pPr>
              <w:pStyle w:val="ListBullet"/>
              <w:spacing w:after="20"/>
              <w:ind w:left="198" w:hanging="170"/>
            </w:pPr>
            <w:r>
              <w:rPr>
                <w:b/>
                <w:i w:val="0"/>
                <w:sz w:val="15"/>
              </w:rPr>
              <w:t xml:space="preserve">Lewis Carroll: </w:t>
            </w:r>
            <w:r>
              <w:rPr>
                <w:b w:val="0"/>
                <w:i w:val="0"/>
                <w:sz w:val="15"/>
              </w:rPr>
              <w:t>Alicia en el País de las Maravillas</w:t>
            </w:r>
          </w:p>
          <w:p>
            <w:pPr>
              <w:pStyle w:val="ListBullet"/>
              <w:spacing w:after="20"/>
              <w:ind w:left="198" w:hanging="170"/>
            </w:pPr>
            <w:r>
              <w:rPr>
                <w:b/>
                <w:i w:val="0"/>
                <w:sz w:val="15"/>
              </w:rPr>
              <w:t xml:space="preserve">Suzanne Collins: </w:t>
            </w:r>
            <w:r>
              <w:rPr>
                <w:b w:val="0"/>
                <w:i w:val="0"/>
                <w:sz w:val="15"/>
              </w:rPr>
              <w:t>Los juegos del hambre</w:t>
            </w:r>
          </w:p>
          <w:p>
            <w:pPr>
              <w:pStyle w:val="ListBullet"/>
              <w:spacing w:after="20"/>
              <w:ind w:left="198" w:hanging="170"/>
            </w:pPr>
            <w:r>
              <w:rPr>
                <w:b/>
                <w:i w:val="0"/>
                <w:sz w:val="15"/>
              </w:rPr>
              <w:t xml:space="preserve">Roald Dahl: </w:t>
            </w:r>
            <w:r>
              <w:rPr>
                <w:b w:val="0"/>
                <w:i w:val="0"/>
                <w:sz w:val="15"/>
              </w:rPr>
              <w:t>“Cordero asado”</w:t>
            </w:r>
          </w:p>
          <w:p>
            <w:pPr>
              <w:pStyle w:val="ListBullet"/>
              <w:spacing w:after="20"/>
              <w:ind w:left="198" w:hanging="170"/>
            </w:pPr>
            <w:r>
              <w:rPr>
                <w:b/>
                <w:i w:val="0"/>
                <w:sz w:val="15"/>
              </w:rPr>
              <w:t xml:space="preserve">José de Espronceda: </w:t>
            </w:r>
            <w:r>
              <w:rPr>
                <w:b w:val="0"/>
                <w:i w:val="0"/>
                <w:sz w:val="15"/>
              </w:rPr>
              <w:t>“La pata de palo”</w:t>
            </w:r>
          </w:p>
          <w:p>
            <w:pPr>
              <w:pStyle w:val="ListBullet"/>
              <w:spacing w:after="20"/>
              <w:ind w:left="198" w:hanging="170"/>
            </w:pPr>
            <w:r>
              <w:rPr>
                <w:b/>
                <w:i w:val="0"/>
                <w:sz w:val="15"/>
              </w:rPr>
              <w:t xml:space="preserve">Griselda Gambaro: </w:t>
            </w:r>
            <w:r>
              <w:rPr>
                <w:b w:val="0"/>
                <w:i w:val="0"/>
                <w:sz w:val="15"/>
              </w:rPr>
              <w:t>“Nosferatu”</w:t>
            </w:r>
          </w:p>
          <w:p>
            <w:pPr>
              <w:pStyle w:val="ListBullet"/>
              <w:spacing w:after="20"/>
              <w:ind w:left="198" w:hanging="170"/>
            </w:pPr>
            <w:r>
              <w:rPr>
                <w:b/>
                <w:i w:val="0"/>
                <w:sz w:val="15"/>
              </w:rPr>
              <w:t xml:space="preserve">Gabriel García Márquez: </w:t>
            </w:r>
            <w:r>
              <w:rPr>
                <w:b w:val="0"/>
                <w:i w:val="0"/>
                <w:sz w:val="15"/>
              </w:rPr>
              <w:t>“Algo muy grave va a suceder en este pueblo”</w:t>
            </w:r>
          </w:p>
          <w:p>
            <w:pPr>
              <w:pStyle w:val="ListBullet"/>
              <w:spacing w:after="20"/>
              <w:ind w:left="198" w:hanging="170"/>
            </w:pPr>
            <w:r>
              <w:rPr>
                <w:b/>
                <w:i w:val="0"/>
                <w:sz w:val="15"/>
              </w:rPr>
              <w:t xml:space="preserve">Joseph Kesserling: </w:t>
            </w:r>
            <w:r>
              <w:rPr>
                <w:b w:val="0"/>
                <w:i w:val="0"/>
                <w:sz w:val="15"/>
              </w:rPr>
              <w:t>Arsénico y encaje antiguo</w:t>
            </w:r>
          </w:p>
          <w:p>
            <w:pPr>
              <w:pStyle w:val="ListBullet"/>
              <w:spacing w:after="20"/>
              <w:ind w:left="198" w:hanging="170"/>
            </w:pPr>
            <w:r>
              <w:rPr>
                <w:b/>
                <w:i w:val="0"/>
                <w:sz w:val="15"/>
              </w:rPr>
              <w:t xml:space="preserve">Baldomero Lillo: </w:t>
            </w:r>
            <w:r>
              <w:rPr>
                <w:b w:val="0"/>
                <w:i w:val="0"/>
                <w:sz w:val="15"/>
              </w:rPr>
              <w:t>“Inamible”</w:t>
            </w:r>
          </w:p>
          <w:p>
            <w:pPr>
              <w:pStyle w:val="ListBullet"/>
              <w:spacing w:after="20"/>
              <w:ind w:left="198" w:hanging="170"/>
            </w:pPr>
            <w:r>
              <w:rPr>
                <w:b/>
                <w:i w:val="0"/>
                <w:sz w:val="15"/>
              </w:rPr>
              <w:t xml:space="preserve">Virgilio Piñera: </w:t>
            </w:r>
            <w:r>
              <w:rPr>
                <w:b w:val="0"/>
                <w:i w:val="0"/>
                <w:sz w:val="15"/>
              </w:rPr>
              <w:t>“La carne”</w:t>
            </w:r>
          </w:p>
          <w:p>
            <w:pPr>
              <w:pStyle w:val="ListBullet"/>
              <w:spacing w:after="20"/>
              <w:ind w:left="198" w:hanging="170"/>
            </w:pPr>
            <w:r>
              <w:rPr>
                <w:b/>
                <w:i w:val="0"/>
                <w:sz w:val="15"/>
              </w:rPr>
              <w:t xml:space="preserve">Quino: </w:t>
            </w:r>
            <w:r>
              <w:rPr>
                <w:b w:val="0"/>
                <w:i w:val="0"/>
                <w:sz w:val="15"/>
              </w:rPr>
              <w:t>Humano se nace; Quinoterapia</w:t>
            </w:r>
          </w:p>
          <w:p>
            <w:pPr>
              <w:pStyle w:val="ListBullet"/>
              <w:spacing w:after="20"/>
              <w:ind w:left="198" w:hanging="170"/>
            </w:pPr>
            <w:r>
              <w:rPr>
                <w:b/>
                <w:i w:val="0"/>
                <w:sz w:val="15"/>
              </w:rPr>
              <w:t xml:space="preserve">Horacio Quiroga: </w:t>
            </w:r>
            <w:r>
              <w:rPr>
                <w:b w:val="0"/>
                <w:i w:val="0"/>
                <w:sz w:val="15"/>
              </w:rPr>
              <w:t>“Juan Darién”</w:t>
            </w:r>
          </w:p>
          <w:p>
            <w:pPr>
              <w:pStyle w:val="ListBullet"/>
              <w:spacing w:after="20"/>
              <w:ind w:left="198" w:hanging="170"/>
            </w:pPr>
            <w:r>
              <w:rPr>
                <w:b/>
                <w:i w:val="0"/>
                <w:sz w:val="15"/>
              </w:rPr>
              <w:t xml:space="preserve">Gianni Rodari: </w:t>
            </w:r>
            <w:r>
              <w:rPr>
                <w:b w:val="0"/>
                <w:i w:val="0"/>
                <w:sz w:val="15"/>
              </w:rPr>
              <w:t>Cuentos escritos a máquina</w:t>
            </w:r>
          </w:p>
          <w:p>
            <w:pPr>
              <w:pStyle w:val="ListBullet"/>
              <w:spacing w:after="20"/>
              <w:ind w:left="198" w:hanging="170"/>
            </w:pPr>
            <w:r>
              <w:rPr>
                <w:b/>
                <w:i w:val="0"/>
                <w:sz w:val="15"/>
              </w:rPr>
              <w:t xml:space="preserve">Saki: </w:t>
            </w:r>
            <w:r>
              <w:rPr>
                <w:b w:val="0"/>
                <w:i w:val="0"/>
                <w:sz w:val="15"/>
              </w:rPr>
              <w:t>“El contador de historias”</w:t>
            </w:r>
          </w:p>
          <w:p>
            <w:pPr>
              <w:pStyle w:val="ListBullet"/>
              <w:spacing w:after="20"/>
              <w:ind w:left="198" w:hanging="170"/>
            </w:pPr>
            <w:r>
              <w:rPr>
                <w:b/>
                <w:i w:val="0"/>
                <w:sz w:val="15"/>
              </w:rPr>
              <w:t xml:space="preserve">Alejandro Sieveking: </w:t>
            </w:r>
            <w:r>
              <w:rPr>
                <w:b w:val="0"/>
                <w:i w:val="0"/>
                <w:sz w:val="15"/>
              </w:rPr>
              <w:t>Ánimas de día claro</w:t>
            </w:r>
          </w:p>
          <w:p>
            <w:pPr>
              <w:pStyle w:val="ListBullet"/>
              <w:spacing w:after="20"/>
              <w:ind w:left="198" w:hanging="170"/>
            </w:pPr>
            <w:r>
              <w:rPr>
                <w:b/>
                <w:i w:val="0"/>
                <w:sz w:val="15"/>
              </w:rPr>
              <w:t xml:space="preserve">Mark Twain: </w:t>
            </w:r>
            <w:r>
              <w:rPr>
                <w:b w:val="0"/>
                <w:i w:val="0"/>
                <w:sz w:val="15"/>
              </w:rPr>
              <w:t>“Niño bueno”; “Niño malo”</w:t>
            </w:r>
          </w:p>
          <w:p>
            <w:pPr>
              <w:pStyle w:val="ListBullet"/>
              <w:spacing w:after="20"/>
              <w:ind w:left="198" w:hanging="170"/>
            </w:pPr>
            <w:r>
              <w:rPr>
                <w:b/>
                <w:i w:val="0"/>
                <w:sz w:val="15"/>
              </w:rPr>
              <w:t xml:space="preserve">Chris van Allsburg: </w:t>
            </w:r>
            <w:r>
              <w:rPr>
                <w:b w:val="0"/>
                <w:i w:val="0"/>
                <w:sz w:val="15"/>
              </w:rPr>
              <w:t>El higo más dulce</w:t>
            </w:r>
          </w:p>
          <w:p>
            <w:pPr>
              <w:pStyle w:val="ListBullet"/>
              <w:spacing w:after="20"/>
              <w:ind w:left="198" w:hanging="170"/>
            </w:pPr>
            <w:r>
              <w:rPr>
                <w:b/>
                <w:i w:val="0"/>
                <w:sz w:val="15"/>
              </w:rPr>
              <w:t xml:space="preserve">Oscar Wilde: </w:t>
            </w:r>
            <w:r>
              <w:rPr>
                <w:b w:val="0"/>
                <w:i w:val="0"/>
                <w:sz w:val="15"/>
              </w:rPr>
              <w:t>“El amigo fiel”</w:t>
            </w:r>
          </w:p>
        </w:tc>
        <w:tc>
          <w:tcPr>
            <w:tcW w:type="dxa" w:w="4637"/>
          </w:tcPr>
          <w:p>
            <w:r/>
            <w:r>
              <w:rPr>
                <w:b/>
                <w:i w:val="0"/>
                <w:sz w:val="15"/>
              </w:rPr>
              <w:t>Ejemplo 1 (OA 22) · pág. 272</w:t>
            </w:r>
          </w:p>
          <w:p>
            <w:pPr>
              <w:pStyle w:val="ListBullet"/>
              <w:spacing w:after="20"/>
              <w:ind w:left="198" w:hanging="170"/>
            </w:pPr>
            <w:r>
              <w:rPr>
                <w:b w:val="0"/>
                <w:i w:val="0"/>
                <w:sz w:val="15"/>
              </w:rPr>
              <w:t>Mantienen el tema de la conversación y, aunque hacen digresiones, vuelven a él.</w:t>
            </w:r>
          </w:p>
          <w:p>
            <w:pPr>
              <w:pStyle w:val="ListBullet"/>
              <w:spacing w:after="20"/>
              <w:ind w:left="198" w:hanging="170"/>
            </w:pPr>
            <w:r>
              <w:rPr>
                <w:b w:val="0"/>
                <w:i w:val="0"/>
                <w:sz w:val="15"/>
              </w:rPr>
              <w:t>Se recuerdan mutuamente, si es que se alejan del tema, qué problema tienen que resolver o sobre qué deben llegar a un acuerdo.</w:t>
            </w:r>
          </w:p>
          <w:p>
            <w:pPr>
              <w:pStyle w:val="ListBullet"/>
              <w:spacing w:after="20"/>
              <w:ind w:left="198" w:hanging="170"/>
            </w:pPr>
            <w:r>
              <w:rPr>
                <w:b w:val="0"/>
                <w:i w:val="0"/>
                <w:sz w:val="15"/>
              </w:rPr>
              <w:t>Retoman lo dicho por otros para refutarlo o expandirlo.</w:t>
            </w:r>
          </w:p>
          <w:p>
            <w:pPr>
              <w:pStyle w:val="ListBullet"/>
              <w:spacing w:after="20"/>
              <w:ind w:left="198" w:hanging="170"/>
            </w:pPr>
            <w:r>
              <w:rPr>
                <w:b w:val="0"/>
                <w:i w:val="0"/>
                <w:sz w:val="15"/>
              </w:rPr>
              <w:t>Fundamentan sus aseveraciones con ejemplos de textos u otra información relevante.</w:t>
            </w:r>
          </w:p>
          <w:p>
            <w:pPr>
              <w:pStyle w:val="ListBullet"/>
              <w:spacing w:after="20"/>
              <w:ind w:left="198" w:hanging="170"/>
            </w:pPr>
            <w:r>
              <w:rPr>
                <w:b w:val="0"/>
                <w:i w:val="0"/>
                <w:sz w:val="15"/>
              </w:rPr>
              <w:t>Preguntan a otros para profundizar en el tema en discusión o explorar otras ideas relacionadas.</w:t>
            </w:r>
          </w:p>
          <w:p>
            <w:pPr>
              <w:pStyle w:val="ListBullet"/>
              <w:spacing w:after="20"/>
              <w:ind w:left="198" w:hanging="170"/>
            </w:pPr>
            <w:r>
              <w:rPr>
                <w:b w:val="0"/>
                <w:i w:val="0"/>
                <w:sz w:val="15"/>
              </w:rPr>
              <w:t>Identifican puntos de acuerdo con los compañeros.</w:t>
            </w:r>
          </w:p>
          <w:p>
            <w:pPr>
              <w:pStyle w:val="ListBullet"/>
              <w:spacing w:after="20"/>
              <w:ind w:left="198" w:hanging="170"/>
            </w:pPr>
            <w:r>
              <w:rPr>
                <w:b w:val="0"/>
                <w:i w:val="0"/>
                <w:sz w:val="15"/>
              </w:rPr>
              <w:t>Llegan a acuerdos con los compañeros sobre algún aspecto discutido.</w:t>
            </w:r>
          </w:p>
          <w:p>
            <w:pPr>
              <w:pStyle w:val="ListBullet"/>
              <w:spacing w:after="20"/>
              <w:ind w:left="198" w:hanging="170"/>
            </w:pPr>
            <w:r>
              <w:rPr>
                <w:b w:val="0"/>
                <w:i w:val="0"/>
                <w:sz w:val="15"/>
              </w:rPr>
              <w:t>En actividades grupales, reparten de manera equitativa las responsabilidades del trabajo.</w:t>
            </w:r>
          </w:p>
          <w:p>
            <w:pPr>
              <w:pStyle w:val="ListBullet"/>
              <w:spacing w:after="20"/>
              <w:ind w:left="198" w:hanging="170"/>
            </w:pPr>
            <w:r>
              <w:rPr>
                <w:b w:val="0"/>
                <w:i w:val="0"/>
                <w:sz w:val="15"/>
              </w:rPr>
              <w:t>Reformulan lo dicho cuando se dan cuenta de que el interlocutor no ha comprendido o cuando perciben que se han expresado mal.</w:t>
            </w:r>
          </w:p>
          <w:p>
            <w:pPr>
              <w:pStyle w:val="ListBullet"/>
              <w:spacing w:after="20"/>
              <w:ind w:left="198" w:hanging="170"/>
            </w:pPr>
            <w:r>
              <w:rPr>
                <w:b w:val="0"/>
                <w:i w:val="0"/>
                <w:sz w:val="15"/>
              </w:rPr>
              <w:t>Esperan una pausa para hacer su intervención.</w:t>
            </w:r>
          </w:p>
          <w:p>
            <w:pPr>
              <w:pStyle w:val="ListBullet"/>
              <w:spacing w:after="20"/>
              <w:ind w:left="198" w:hanging="170"/>
            </w:pPr>
            <w:r>
              <w:rPr>
                <w:b w:val="0"/>
                <w:i w:val="0"/>
                <w:sz w:val="15"/>
              </w:rPr>
              <w:t>Miran al otro antes de interrumpir, para ver si es posible tomar la palabra en ese momento.</w:t>
            </w:r>
          </w:p>
          <w:p>
            <w:r>
              <w:rPr>
                <w:b/>
                <w:i w:val="0"/>
                <w:sz w:val="15"/>
              </w:rPr>
              <w:t>Ejemplo 2 (OA 9) · pág. 274</w:t>
            </w:r>
          </w:p>
          <w:p>
            <w:pPr>
              <w:pStyle w:val="ListBullet"/>
              <w:spacing w:after="20"/>
              <w:ind w:left="198" w:hanging="170"/>
            </w:pPr>
            <w:r>
              <w:rPr>
                <w:b w:val="0"/>
                <w:i w:val="0"/>
                <w:sz w:val="15"/>
              </w:rPr>
              <w:t>Hacen un resumen del texto.</w:t>
            </w:r>
          </w:p>
          <w:p>
            <w:pPr>
              <w:pStyle w:val="ListBullet"/>
              <w:spacing w:after="20"/>
              <w:ind w:left="198" w:hanging="170"/>
            </w:pPr>
            <w:r>
              <w:rPr>
                <w:b w:val="0"/>
                <w:i w:val="0"/>
                <w:sz w:val="15"/>
              </w:rPr>
              <w:t>Explican cuál es la postura del autor y qué argumentos utiliza para respaldarla.</w:t>
            </w:r>
          </w:p>
          <w:p>
            <w:pPr>
              <w:pStyle w:val="ListBullet"/>
              <w:spacing w:after="20"/>
              <w:ind w:left="198" w:hanging="170"/>
            </w:pPr>
            <w:r>
              <w:rPr>
                <w:b w:val="0"/>
                <w:i w:val="0"/>
                <w:sz w:val="15"/>
              </w:rPr>
              <w:t>Para cada argumento de un texto, establecen si es un hecho o una opinión.</w:t>
            </w:r>
          </w:p>
          <w:p>
            <w:pPr>
              <w:pStyle w:val="ListBullet"/>
              <w:spacing w:after="20"/>
              <w:ind w:left="198" w:hanging="170"/>
            </w:pPr>
            <w:r>
              <w:rPr>
                <w:b w:val="0"/>
                <w:i w:val="0"/>
                <w:sz w:val="15"/>
              </w:rPr>
              <w:t>Explican su postura, y si están de acuerdo o en desacuerdo con lo que se dice en el texto.</w:t>
            </w:r>
          </w:p>
          <w:p>
            <w:pPr>
              <w:pStyle w:val="ListBullet"/>
              <w:spacing w:after="20"/>
              <w:ind w:left="198" w:hanging="170"/>
            </w:pPr>
            <w:r>
              <w:rPr>
                <w:b w:val="0"/>
                <w:i w:val="0"/>
                <w:sz w:val="15"/>
              </w:rPr>
              <w:t>Señalan con qué argumentos están de acuerdo y con cuáles en desacuerdo, y explican por qué.</w:t>
            </w:r>
          </w:p>
          <w:p>
            <w:pPr>
              <w:pStyle w:val="ListBullet"/>
              <w:spacing w:after="20"/>
              <w:ind w:left="198" w:hanging="170"/>
            </w:pPr>
            <w:r>
              <w:rPr>
                <w:b w:val="0"/>
                <w:i w:val="0"/>
                <w:sz w:val="15"/>
              </w:rPr>
              <w:t>Refutan o reafirman la postura del texto con al menos un argumento nuevo.</w:t>
            </w:r>
          </w:p>
        </w:tc>
        <w:tc>
          <w:tcPr>
            <w:tcW w:type="dxa" w:w="1474"/>
          </w:tcPr>
          <w:p>
            <w:r/>
            <w:r>
              <w:rPr>
                <w:b/>
                <w:i w:val="0"/>
                <w:sz w:val="15"/>
              </w:rPr>
              <w:t xml:space="preserve">OA A: </w:t>
            </w:r>
            <w:r>
              <w:rPr>
                <w:b w:val="0"/>
                <w:i w:val="0"/>
                <w:sz w:val="15"/>
              </w:rPr>
              <w:t>Manifestar disposición a formarse un pensamiento propio, reflexivo e informado, mediante una lectura crítica y el diálogo con otros.</w:t>
            </w:r>
          </w:p>
          <w:p>
            <w:r>
              <w:rPr>
                <w:b/>
                <w:i w:val="0"/>
                <w:sz w:val="15"/>
              </w:rPr>
              <w:t xml:space="preserve">OA C: </w:t>
            </w:r>
            <w:r>
              <w:rPr>
                <w:b w:val="0"/>
                <w:i w:val="0"/>
                <w:sz w:val="15"/>
              </w:rPr>
              <w:t>Interesarse por comprender las experiencias e ideas de los demás, utilizando la lectura y el diálogo para el enriquecimiento personal y para la construcción de buenas relaciones con los demás.</w:t>
            </w:r>
          </w:p>
        </w:tc>
        <w:tc>
          <w:tcPr>
            <w:tcW w:type="dxa" w:w="1871"/>
          </w:tcPr>
          <w:p>
            <w:r/>
            <w:r>
              <w:rPr>
                <w:b/>
                <w:i w:val="0"/>
                <w:sz w:val="15"/>
              </w:rPr>
              <w:t xml:space="preserve">Formativa. </w:t>
            </w:r>
            <w:r>
              <w:rPr>
                <w:b/>
                <w:i/>
                <w:color w:val="595959"/>
                <w:sz w:val="15"/>
              </w:rPr>
              <w:t xml:space="preserve">Sugerencia — revisar: </w:t>
            </w:r>
            <w:r>
              <w:rPr>
                <w:b w:val="0"/>
                <w:i/>
                <w:color w:val="595959"/>
                <w:sz w:val="15"/>
              </w:rPr>
              <w:t>Preguntas de interpretación sobre lo absurdo y lo fantástico; coevaluación de producciones creativas con pauta.</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Ejemplo 1: </w:t>
            </w:r>
            <w:r>
              <w:rPr>
                <w:b w:val="0"/>
                <w:i w:val="0"/>
                <w:sz w:val="15"/>
              </w:rPr>
              <w:t>El docente pide a los estudiantes que se junten en grupos para discutir el tema: ¿Creen ustedes que, por medio de la descripción de un mundo descabellado, se puede hacer una crítica a ciertos aspectos de nuestra sociedad? Para ejemplificar y fundamentar, usen ejemplos de los textos leídos en clases. (pág. 272)</w:t>
            </w:r>
          </w:p>
          <w:p>
            <w:pPr>
              <w:pStyle w:val="ListBullet"/>
              <w:spacing w:after="20"/>
              <w:ind w:left="198" w:hanging="170"/>
            </w:pPr>
            <w:r>
              <w:rPr>
                <w:b/>
                <w:i w:val="0"/>
                <w:sz w:val="15"/>
              </w:rPr>
              <w:t xml:space="preserve">Ejemplo 2: </w:t>
            </w:r>
            <w:r>
              <w:rPr>
                <w:b w:val="0"/>
                <w:i w:val="0"/>
                <w:sz w:val="15"/>
              </w:rPr>
              <w:t>El docente entrega a los estudiantes una crítica a una película que tenga que ver con el tema del mundo descabellado. (pág. 274)</w:t>
            </w:r>
          </w:p>
        </w:tc>
        <w:tc>
          <w:tcPr>
            <w:tcW w:type="dxa" w:w="1247"/>
          </w:tcPr>
          <w:p>
            <w:r/>
            <w:r>
              <w:rPr>
                <w:b/>
                <w:i/>
                <w:color w:val="595959"/>
                <w:sz w:val="15"/>
              </w:rPr>
              <w:t xml:space="preserve">Sugerencia — revisar: </w:t>
            </w:r>
            <w:r>
              <w:rPr>
                <w:b w:val="0"/>
                <w:i/>
                <w:color w:val="595959"/>
                <w:sz w:val="15"/>
              </w:rPr>
              <w:t>Relatos y poemas de lo absurdo y lo fantástico sugeridos; ilustraciones; material para escritura creativa.</w:t>
            </w:r>
          </w:p>
        </w:tc>
      </w:tr>
      <w:tr>
        <w:tc>
          <w:tcPr>
            <w:tcW w:type="dxa" w:w="1757"/>
          </w:tcPr>
          <w:p>
            <w:r/>
            <w:r>
              <w:rPr>
                <w:b/>
                <w:i w:val="0"/>
                <w:sz w:val="16"/>
              </w:rPr>
              <w:t>Unidad 7</w:t>
            </w:r>
          </w:p>
          <w:p>
            <w:r>
              <w:rPr>
                <w:b/>
                <w:i w:val="0"/>
                <w:sz w:val="16"/>
              </w:rPr>
              <w:t>Medios de comunicación</w:t>
            </w:r>
          </w:p>
          <w:p>
            <w:r>
              <w:rPr>
                <w:b w:val="0"/>
                <w:i w:val="0"/>
                <w:sz w:val="15"/>
              </w:rPr>
              <w:t>El propósito de esta unidad es que los estudiantes reflexionen y hagan una lectura analítica y crítica de textos de los medios de comunicación, tanto orales como escritos.</w:t>
            </w:r>
          </w:p>
          <w:p>
            <w:r>
              <w:rPr>
                <w:b w:val="0"/>
                <w:i w:val="0"/>
                <w:color w:val="595959"/>
                <w:sz w:val="14"/>
              </w:rPr>
              <w:t>Programa, págs. 275–312</w:t>
            </w:r>
          </w:p>
        </w:tc>
        <w:tc>
          <w:tcPr>
            <w:tcW w:type="dxa" w:w="1134"/>
          </w:tcPr>
          <w:p>
            <w:r/>
            <w:r>
              <w:rPr>
                <w:b/>
                <w:i w:val="0"/>
                <w:sz w:val="15"/>
              </w:rPr>
              <w:t>Semestre 2</w:t>
            </w:r>
          </w:p>
          <w:p>
            <w:r>
              <w:rPr>
                <w:b w:val="0"/>
                <w:i w:val="0"/>
                <w:sz w:val="15"/>
              </w:rPr>
              <w:t>36 h pedagógicas</w:t>
            </w:r>
          </w:p>
          <w:p>
            <w:r>
              <w:rPr>
                <w:b w:val="0"/>
                <w:i w:val="0"/>
                <w:color w:val="595959"/>
                <w:sz w:val="15"/>
              </w:rPr>
              <w:t>Semanas 32 a 38</w:t>
            </w:r>
          </w:p>
        </w:tc>
        <w:tc>
          <w:tcPr>
            <w:tcW w:type="dxa" w:w="1134"/>
          </w:tcPr>
          <w:p>
            <w:r/>
            <w:r>
              <w:rPr>
                <w:b/>
                <w:i w:val="0"/>
                <w:sz w:val="15"/>
              </w:rPr>
              <w:t>OA 1, OA 9, OA 10, OA 15, OA 16, OA 21, OA 22, OA 23, OA 24, OA 25, OA 26</w:t>
            </w:r>
          </w:p>
          <w:p>
            <w:r>
              <w:rPr>
                <w:b w:val="0"/>
                <w:i w:val="0"/>
                <w:color w:val="595959"/>
                <w:sz w:val="14"/>
              </w:rPr>
              <w:t>(texto en Anexo G)</w:t>
            </w:r>
          </w:p>
          <w:p>
            <w:r>
              <w:rPr>
                <w:b w:val="0"/>
                <w:i w:val="0"/>
                <w:sz w:val="14"/>
              </w:rPr>
              <w:t>Evaluados en los ejemplos del Programa:</w:t>
            </w:r>
          </w:p>
          <w:p>
            <w:r>
              <w:rPr>
                <w:b/>
                <w:i w:val="0"/>
                <w:sz w:val="15"/>
              </w:rPr>
              <w:t>OA 10, OA 15</w:t>
            </w:r>
          </w:p>
        </w:tc>
        <w:tc>
          <w:tcPr>
            <w:tcW w:type="dxa" w:w="3413"/>
          </w:tcPr>
          <w:p>
            <w:r/>
            <w:r>
              <w:rPr>
                <w:b w:val="0"/>
                <w:i w:val="0"/>
                <w:color w:val="595959"/>
                <w:sz w:val="15"/>
              </w:rPr>
              <w:t>—</w:t>
            </w:r>
          </w:p>
        </w:tc>
        <w:tc>
          <w:tcPr>
            <w:tcW w:type="dxa" w:w="4637"/>
          </w:tcPr>
          <w:p>
            <w:r/>
            <w:r>
              <w:rPr>
                <w:b/>
                <w:i w:val="0"/>
                <w:sz w:val="15"/>
              </w:rPr>
              <w:t>Ejemplo 1 (OA 10) · pág. 310</w:t>
            </w:r>
          </w:p>
          <w:p>
            <w:pPr>
              <w:pStyle w:val="ListBullet"/>
              <w:spacing w:after="20"/>
              <w:ind w:left="198" w:hanging="170"/>
            </w:pPr>
            <w:r>
              <w:rPr>
                <w:b w:val="0"/>
                <w:i w:val="0"/>
                <w:sz w:val="15"/>
              </w:rPr>
              <w:t>Explican por qué una información presente en el texto corresponde a un hecho o una opinión.</w:t>
            </w:r>
          </w:p>
          <w:p>
            <w:r>
              <w:rPr>
                <w:b/>
                <w:i w:val="0"/>
                <w:sz w:val="15"/>
              </w:rPr>
              <w:t>Ejemplo 2 (OA 10, OA 15) · pág. 311</w:t>
            </w:r>
          </w:p>
          <w:p>
            <w:pPr>
              <w:pStyle w:val="ListBullet"/>
              <w:spacing w:after="20"/>
              <w:ind w:left="198" w:hanging="170"/>
            </w:pPr>
            <w:r>
              <w:rPr>
                <w:b w:val="0"/>
                <w:i w:val="0"/>
                <w:sz w:val="15"/>
              </w:rPr>
              <w:t>Explican por qué una información presente en el texto corresponde a un hecho o una opinión.</w:t>
            </w:r>
          </w:p>
          <w:p>
            <w:pPr>
              <w:pStyle w:val="ListBullet"/>
              <w:spacing w:after="20"/>
              <w:ind w:left="198" w:hanging="170"/>
            </w:pPr>
            <w:r>
              <w:rPr>
                <w:b w:val="0"/>
                <w:i w:val="0"/>
                <w:sz w:val="15"/>
              </w:rPr>
              <w:t>Identifican estereotipos y prejuicios en la obra y expresan su postura sobre el uso que se hace de ellos.</w:t>
            </w:r>
          </w:p>
          <w:p>
            <w:pPr>
              <w:pStyle w:val="ListBullet"/>
              <w:spacing w:after="20"/>
              <w:ind w:left="198" w:hanging="170"/>
            </w:pPr>
            <w:r>
              <w:rPr>
                <w:b w:val="0"/>
                <w:i w:val="0"/>
                <w:sz w:val="15"/>
              </w:rPr>
              <w:t>Señalan si la información entregada por el texto es suficiente para poder adoptar responsablemente una postura frente al tema abordado. En caso de que no sea así, indican qué información adicional requieren.</w:t>
            </w:r>
          </w:p>
          <w:p>
            <w:pPr>
              <w:pStyle w:val="ListBullet"/>
              <w:spacing w:after="20"/>
              <w:ind w:left="198" w:hanging="170"/>
            </w:pPr>
            <w:r>
              <w:rPr>
                <w:b w:val="0"/>
                <w:i w:val="0"/>
                <w:sz w:val="15"/>
              </w:rPr>
              <w:t>Explican las similitudes y diferencias que hay entre la presentación que hace un texto de un hecho y cómo lo presenta otro.</w:t>
            </w:r>
          </w:p>
          <w:p>
            <w:pPr>
              <w:pStyle w:val="ListBullet"/>
              <w:spacing w:after="20"/>
              <w:ind w:left="198" w:hanging="170"/>
            </w:pPr>
            <w:r>
              <w:rPr>
                <w:b w:val="0"/>
                <w:i w:val="0"/>
                <w:sz w:val="15"/>
              </w:rPr>
              <w:t>Escriben textos de diversos géneros con el fin de persuadir al lector respecto de un tema de interés.</w:t>
            </w:r>
          </w:p>
          <w:p>
            <w:pPr>
              <w:pStyle w:val="ListBullet"/>
              <w:spacing w:after="20"/>
              <w:ind w:left="198" w:hanging="170"/>
            </w:pPr>
            <w:r>
              <w:rPr>
                <w:b w:val="0"/>
                <w:i w:val="0"/>
                <w:sz w:val="15"/>
              </w:rPr>
              <w:t>Usan de manera pertinente la estructura del género elegido para escribir.</w:t>
            </w:r>
          </w:p>
          <w:p>
            <w:pPr>
              <w:pStyle w:val="ListBullet"/>
              <w:spacing w:after="20"/>
              <w:ind w:left="198" w:hanging="170"/>
            </w:pPr>
            <w:r>
              <w:rPr>
                <w:b w:val="0"/>
                <w:i w:val="0"/>
                <w:sz w:val="15"/>
              </w:rPr>
              <w:t>Mencionan su postura frente al tema al principio del texto, y la sustentan con argumentos.</w:t>
            </w:r>
          </w:p>
          <w:p>
            <w:pPr>
              <w:pStyle w:val="ListBullet"/>
              <w:spacing w:after="20"/>
              <w:ind w:left="198" w:hanging="170"/>
            </w:pPr>
            <w:r>
              <w:rPr>
                <w:b w:val="0"/>
                <w:i w:val="0"/>
                <w:sz w:val="15"/>
              </w:rPr>
              <w:t>Usan evidencias e información que se relaciona directamente con los argumentos utilizados.</w:t>
            </w:r>
          </w:p>
          <w:p>
            <w:pPr>
              <w:pStyle w:val="ListBullet"/>
              <w:spacing w:after="20"/>
              <w:ind w:left="198" w:hanging="170"/>
            </w:pPr>
            <w:r>
              <w:rPr>
                <w:b w:val="0"/>
                <w:i w:val="0"/>
                <w:sz w:val="15"/>
              </w:rPr>
              <w:t>Fundamentan su postura, usando citas de un texto (literario o no literario), ejemplos, conocimientos previos sobre el tema, etc.</w:t>
            </w:r>
          </w:p>
          <w:p>
            <w:pPr>
              <w:pStyle w:val="ListBullet"/>
              <w:spacing w:after="20"/>
              <w:ind w:left="198" w:hanging="170"/>
            </w:pPr>
            <w:r>
              <w:rPr>
                <w:b w:val="0"/>
                <w:i w:val="0"/>
                <w:sz w:val="15"/>
              </w:rPr>
              <w:t>Escriben textos en los que cada uno de los párrafos contribuye a llevar a cabo el propósito de persuadir.</w:t>
            </w:r>
          </w:p>
          <w:p>
            <w:pPr>
              <w:pStyle w:val="ListBullet"/>
              <w:spacing w:after="20"/>
              <w:ind w:left="198" w:hanging="170"/>
            </w:pPr>
            <w:r>
              <w:rPr>
                <w:b w:val="0"/>
                <w:i w:val="0"/>
                <w:sz w:val="15"/>
              </w:rPr>
              <w:t>Escriben textos en los que cada uno de los párrafos aborda un tema que se relaciona directamente con la postura que se quiere transmitir.</w:t>
            </w:r>
          </w:p>
          <w:p>
            <w:pPr>
              <w:pStyle w:val="ListBullet"/>
              <w:spacing w:after="20"/>
              <w:ind w:left="198" w:hanging="170"/>
            </w:pPr>
            <w:r>
              <w:rPr>
                <w:b w:val="0"/>
                <w:i w:val="0"/>
                <w:sz w:val="15"/>
              </w:rPr>
              <w:t>Escriben textos en los que cada oración contribuye a desarrollar la idea central del párrafo.</w:t>
            </w:r>
          </w:p>
          <w:p>
            <w:pPr>
              <w:pStyle w:val="ListBullet"/>
              <w:spacing w:after="20"/>
              <w:ind w:left="198" w:hanging="170"/>
            </w:pPr>
            <w:r>
              <w:rPr>
                <w:b w:val="0"/>
                <w:i w:val="0"/>
                <w:sz w:val="15"/>
              </w:rPr>
              <w:t>Escriben textos que mantienen y vinculan de modo coherente los temas tratados, sin que se observen rupturas temáticas o incoherencias.</w:t>
            </w:r>
          </w:p>
        </w:tc>
        <w:tc>
          <w:tcPr>
            <w:tcW w:type="dxa" w:w="1474"/>
          </w:tcPr>
          <w:p>
            <w:r/>
            <w:r>
              <w:rPr>
                <w:b/>
                <w:i w:val="0"/>
                <w:sz w:val="15"/>
              </w:rPr>
              <w:t xml:space="preserve">OA E: </w:t>
            </w:r>
            <w:r>
              <w:rPr>
                <w:b w:val="0"/>
                <w:i w:val="0"/>
                <w:sz w:val="15"/>
              </w:rPr>
              <w:t>Valorar las posibilidades que da el discurso hablado y escrito para participar de manera proactiva, informada y responsable en la vida de la sociedad democrática.</w:t>
            </w:r>
          </w:p>
          <w:p>
            <w:r>
              <w:rPr>
                <w:b/>
                <w:i w:val="0"/>
                <w:sz w:val="15"/>
              </w:rPr>
              <w:t xml:space="preserve">OA F: </w:t>
            </w:r>
            <w:r>
              <w:rPr>
                <w:b w:val="0"/>
                <w:i w:val="0"/>
                <w:sz w:val="15"/>
              </w:rPr>
              <w:t>Valorar la evidencia y la búsqueda de conocimientos que apoyen sus aseveraciones.</w:t>
            </w:r>
          </w:p>
          <w:p>
            <w:r>
              <w:rPr>
                <w:b/>
                <w:i w:val="0"/>
                <w:sz w:val="15"/>
              </w:rPr>
              <w:t xml:space="preserve">OA G: </w:t>
            </w:r>
            <w:r>
              <w:rPr>
                <w:b w:val="0"/>
                <w:i w:val="0"/>
                <w:sz w:val="15"/>
              </w:rPr>
              <w:t>Realizar tareas y trabajos de forma rigurosa y perseverante, entendiendo que los logros se obtienen solo después de un trabajo prolongado.</w:t>
            </w:r>
          </w:p>
          <w:p>
            <w:r>
              <w:rPr>
                <w:b/>
                <w:i w:val="0"/>
                <w:sz w:val="15"/>
              </w:rPr>
              <w:t xml:space="preserve">OA H: </w:t>
            </w:r>
            <w:r>
              <w:rPr>
                <w:b w:val="0"/>
                <w:i w:val="0"/>
                <w:sz w:val="15"/>
              </w:rPr>
              <w:t>Trabajar colaborativamente, usando de manera responsable las tecnologías de la comunicación, dando crédito al trabajo de otros y respetando la propiedad y la privacidad de las personas.</w:t>
            </w:r>
          </w:p>
        </w:tc>
        <w:tc>
          <w:tcPr>
            <w:tcW w:type="dxa" w:w="1871"/>
          </w:tcPr>
          <w:p>
            <w:r/>
            <w:r>
              <w:rPr>
                <w:b/>
                <w:i w:val="0"/>
                <w:sz w:val="15"/>
              </w:rPr>
              <w:t xml:space="preserve">Formativa. </w:t>
            </w:r>
            <w:r>
              <w:rPr>
                <w:b/>
                <w:i/>
                <w:color w:val="595959"/>
                <w:sz w:val="15"/>
              </w:rPr>
              <w:t xml:space="preserve">Sugerencia — revisar: </w:t>
            </w:r>
            <w:r>
              <w:rPr>
                <w:b w:val="0"/>
                <w:i/>
                <w:color w:val="595959"/>
                <w:sz w:val="15"/>
              </w:rPr>
              <w:t>Análisis guiado de noticias, columnas y publicidad con pauta; seguimiento por etapas de la investigación.</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Ejemplo 1: </w:t>
            </w:r>
            <w:r>
              <w:rPr>
                <w:b w:val="0"/>
                <w:i w:val="0"/>
                <w:sz w:val="15"/>
              </w:rPr>
              <w:t>Los estudiantes leen “El crimen continuo” de José Manuel Simián, en la Revista Qué Pasa, Julio 2013: http://www.quepasa.cl/articulo/opinion---posteos/2013/07/20-12234-9-el-crimen- continuo.shtml. (pág. 310)</w:t>
            </w:r>
          </w:p>
          <w:p>
            <w:pPr>
              <w:pStyle w:val="ListBullet"/>
              <w:spacing w:after="20"/>
              <w:ind w:left="198" w:hanging="170"/>
            </w:pPr>
            <w:r>
              <w:rPr>
                <w:b/>
                <w:i w:val="0"/>
                <w:sz w:val="15"/>
              </w:rPr>
              <w:t xml:space="preserve">Ejemplo 2: </w:t>
            </w:r>
            <w:r>
              <w:rPr>
                <w:b w:val="0"/>
                <w:i w:val="0"/>
                <w:sz w:val="15"/>
              </w:rPr>
              <w:t>Los estudiantes leen una misma noticia en tres diarios y luego escriben un texto de opinión en el cual argumentan cuál es el que les parece menos confiable, considerando, por ejemplo, la cantidad de información, opiniones vertidas en él, prejuicios expresados, etc. Instrumento: Pauta de evaluación. (pág. 311)</w:t>
            </w:r>
          </w:p>
        </w:tc>
        <w:tc>
          <w:tcPr>
            <w:tcW w:type="dxa" w:w="1247"/>
          </w:tcPr>
          <w:p>
            <w:r/>
            <w:r>
              <w:rPr>
                <w:b/>
                <w:i/>
                <w:color w:val="595959"/>
                <w:sz w:val="15"/>
              </w:rPr>
              <w:t xml:space="preserve">Sugerencia — revisar: </w:t>
            </w:r>
            <w:r>
              <w:rPr>
                <w:b w:val="0"/>
                <w:i/>
                <w:color w:val="595959"/>
                <w:sz w:val="15"/>
              </w:rPr>
              <w:t>Noticias, columnas de opinión y avisos actuales, incluidos medios de la región; fuentes digitales confiables; acceso a internet.</w:t>
            </w:r>
          </w:p>
        </w:tc>
      </w:tr>
    </w:tbl>
    <w:p>
      <w:pPr>
        <w:pStyle w:val="Heading1"/>
      </w:pPr>
      <w:r>
        <w:t>E. Estrategias transversales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3402"/>
        <w:gridCol w:w="13266"/>
      </w:tblGrid>
      <w:tr>
        <w:tc>
          <w:tcPr>
            <w:tcW w:type="dxa" w:w="3402"/>
          </w:tcPr>
          <w:p>
            <w:r>
              <w:rPr>
                <w:b/>
                <w:i w:val="0"/>
                <w:sz w:val="18"/>
              </w:rPr>
              <w:t>DUA (Decreto 83/2015)</w:t>
            </w:r>
          </w:p>
        </w:tc>
        <w:tc>
          <w:tcPr>
            <w:tcW w:type="dxa" w:w="13266"/>
          </w:tcPr>
          <w:p>
            <w:r>
              <w:rPr>
                <w:b/>
                <w:i w:val="0"/>
                <w:sz w:val="18"/>
              </w:rPr>
              <w:t xml:space="preserve">Múltiples formas de representación: </w:t>
            </w:r>
            <w:r>
              <w:rPr>
                <w:b/>
                <w:i/>
                <w:color w:val="595959"/>
                <w:sz w:val="18"/>
              </w:rPr>
              <w:t xml:space="preserve">Sugerencia — revisar: </w:t>
            </w:r>
            <w:r>
              <w:rPr>
                <w:b w:val="0"/>
                <w:i/>
                <w:color w:val="595959"/>
                <w:sz w:val="18"/>
              </w:rPr>
              <w:t>Presentar los textos en varios formatos (lectura en voz alta, audiolibro, versión ilustrada o adaptada), con apoyo visual del vocabulario.</w:t>
            </w:r>
          </w:p>
          <w:p>
            <w:r>
              <w:rPr>
                <w:b/>
                <w:i w:val="0"/>
                <w:sz w:val="18"/>
              </w:rPr>
              <w:t xml:space="preserve">Múltiples formas de acción y expresión: </w:t>
            </w:r>
            <w:r>
              <w:rPr>
                <w:b/>
                <w:i/>
                <w:color w:val="595959"/>
                <w:sz w:val="18"/>
              </w:rPr>
              <w:t xml:space="preserve">Sugerencia — revisar: </w:t>
            </w:r>
            <w:r>
              <w:rPr>
                <w:b w:val="0"/>
                <w:i/>
                <w:color w:val="595959"/>
                <w:sz w:val="18"/>
              </w:rPr>
              <w:t>Permitir demostrar la comprensión de forma oral, escrita o multimodal (comentario oral, cómic, presentación, podcast).</w:t>
            </w:r>
          </w:p>
          <w:p>
            <w:r>
              <w:rPr>
                <w:b/>
                <w:i w:val="0"/>
                <w:sz w:val="18"/>
              </w:rPr>
              <w:t xml:space="preserve">Múltiples formas de implicación: </w:t>
            </w:r>
            <w:r>
              <w:rPr>
                <w:b/>
                <w:i/>
                <w:color w:val="595959"/>
                <w:sz w:val="18"/>
              </w:rPr>
              <w:t xml:space="preserve">Sugerencia — revisar: </w:t>
            </w:r>
            <w:r>
              <w:rPr>
                <w:b w:val="0"/>
                <w:i/>
                <w:color w:val="595959"/>
                <w:sz w:val="18"/>
              </w:rPr>
              <w:t>Ofrecer lecturas a elección dentro del tema de la unidad y trabajo colaborativo con roles definidos.</w:t>
            </w:r>
          </w:p>
        </w:tc>
      </w:tr>
      <w:tr>
        <w:tc>
          <w:tcPr>
            <w:tcW w:type="dxa" w:w="3402"/>
          </w:tcPr>
          <w:p>
            <w:r>
              <w:rPr>
                <w:b/>
                <w:i w:val="0"/>
                <w:sz w:val="18"/>
              </w:rPr>
              <w:t>Atención a NEE / PIE</w:t>
            </w:r>
          </w:p>
        </w:tc>
        <w:tc>
          <w:tcPr>
            <w:tcW w:type="dxa" w:w="13266"/>
          </w:tcPr>
          <w:p>
            <w:r>
              <w:rPr>
                <w:b w:val="0"/>
                <w:i/>
                <w:color w:val="8C8C8C"/>
                <w:sz w:val="18"/>
              </w:rPr>
              <w:t>Completar por el docente</w:t>
            </w:r>
          </w:p>
        </w:tc>
      </w:tr>
      <w:tr>
        <w:tc>
          <w:tcPr>
            <w:tcW w:type="dxa" w:w="3402"/>
          </w:tcPr>
          <w:p>
            <w:r>
              <w:rPr>
                <w:b/>
                <w:i w:val="0"/>
                <w:sz w:val="18"/>
              </w:rPr>
              <w:t>Enfoque socioemocional y convivencia</w:t>
            </w:r>
          </w:p>
        </w:tc>
        <w:tc>
          <w:tcPr>
            <w:tcW w:type="dxa" w:w="13266"/>
          </w:tcPr>
          <w:p>
            <w:r>
              <w:rPr>
                <w:b w:val="0"/>
                <w:i/>
                <w:color w:val="8C8C8C"/>
                <w:sz w:val="18"/>
              </w:rPr>
              <w:t>Completar por el docente</w:t>
            </w:r>
          </w:p>
        </w:tc>
      </w:tr>
      <w:tr>
        <w:tc>
          <w:tcPr>
            <w:tcW w:type="dxa" w:w="3402"/>
          </w:tcPr>
          <w:p>
            <w:r>
              <w:rPr>
                <w:b/>
                <w:i w:val="0"/>
                <w:sz w:val="18"/>
              </w:rPr>
              <w:t>Otros (OAT, habilidades del siglo XXI)</w:t>
            </w:r>
          </w:p>
        </w:tc>
        <w:tc>
          <w:tcPr>
            <w:tcW w:type="dxa" w:w="13266"/>
          </w:tcPr>
          <w:p>
            <w:r>
              <w:rPr>
                <w:b w:val="0"/>
                <w:i/>
                <w:color w:val="8C8C8C"/>
                <w:sz w:val="18"/>
              </w:rPr>
              <w:t>Completar por el docente</w:t>
            </w:r>
          </w:p>
        </w:tc>
      </w:tr>
    </w:tbl>
    <w:p>
      <w:pPr>
        <w:pStyle w:val="Heading1"/>
      </w:pPr>
      <w:r>
        <w:t>F. Observaciones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6668"/>
      </w:tblGrid>
      <w:tr>
        <w:trPr>
          <w:cantSplit/>
        </w:trPr>
        <w:tc>
          <w:tcPr>
            <w:tcW w:type="dxa" w:w="16668"/>
          </w:tcPr>
          <w:p>
            <w:r>
              <w:rPr>
                <w:b w:val="0"/>
                <w:i/>
                <w:color w:val="8C8C8C"/>
                <w:sz w:val="18"/>
              </w:rPr>
              <w:t>Completar por el docente</w:t>
            </w:r>
          </w:p>
          <w:p/>
          <w:p/>
          <w:p/>
        </w:tc>
      </w:tr>
    </w:tbl>
    <w:p>
      <w:r>
        <w:br w:type="page"/>
      </w:r>
    </w:p>
    <w:p>
      <w:pPr>
        <w:pStyle w:val="Heading1"/>
      </w:pPr>
      <w:r>
        <w:t>G. Anexo: Objetivos de Aprendizaje del año</w:t>
      </w:r>
    </w:p>
    <w:p>
      <w:pPr>
        <w:spacing w:after="80"/>
      </w:pPr>
      <w:r>
        <w:rPr>
          <w:b w:val="0"/>
          <w:i w:val="0"/>
          <w:color w:val="595959"/>
          <w:sz w:val="16"/>
        </w:rPr>
        <w:t>Texto literal de las Bases Curriculares (DS 614/2013 y DS 369/2015); las habilidades y actitudes, del Programa de Estudio. Entre paréntesis, la página en las Bases (B) y en el Programa de Estudio (P).</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01"/>
        <w:gridCol w:w="14967"/>
      </w:tblGrid>
      <w:tr>
        <w:trPr>
          <w:tblHeader w:val="true"/>
        </w:trPr>
        <w:tc>
          <w:tcPr>
            <w:tcW w:type="dxa" w:w="1701"/>
          </w:tcPr>
          <w:p>
            <w:r/>
            <w:r>
              <w:rPr>
                <w:b/>
                <w:i w:val="0"/>
                <w:sz w:val="18"/>
              </w:rPr>
              <w:t>Código</w:t>
            </w:r>
          </w:p>
        </w:tc>
        <w:tc>
          <w:tcPr>
            <w:tcW w:type="dxa" w:w="14967"/>
          </w:tcPr>
          <w:p>
            <w:r/>
            <w:r>
              <w:rPr>
                <w:b/>
                <w:i w:val="0"/>
                <w:sz w:val="18"/>
              </w:rPr>
              <w:t>Objetivo de Aprendizaje</w:t>
            </w:r>
          </w:p>
        </w:tc>
      </w:tr>
      <w:tr>
        <w:tc>
          <w:tcPr>
            <w:tcW w:type="dxa" w:w="16668"/>
            <w:gridSpan w:val="2"/>
          </w:tcPr>
          <w:p>
            <w:r/>
            <w:r>
              <w:rPr>
                <w:b/>
                <w:i w:val="0"/>
                <w:sz w:val="18"/>
              </w:rPr>
              <w:t>LECTURA</w:t>
            </w:r>
          </w:p>
        </w:tc>
      </w:tr>
      <w:tr>
        <w:trPr>
          <w:cantSplit/>
        </w:trPr>
        <w:tc>
          <w:tcPr>
            <w:tcW w:type="dxa" w:w="1701"/>
          </w:tcPr>
          <w:p>
            <w:r>
              <w:rPr>
                <w:b/>
                <w:i w:val="0"/>
                <w:sz w:val="18"/>
              </w:rPr>
              <w:t>OA 1</w:t>
            </w:r>
          </w:p>
          <w:p>
            <w:r>
              <w:rPr>
                <w:b w:val="0"/>
                <w:i w:val="0"/>
                <w:color w:val="595959"/>
                <w:sz w:val="14"/>
              </w:rPr>
              <w:t>(B 56 · P 54)</w:t>
            </w:r>
          </w:p>
        </w:tc>
        <w:tc>
          <w:tcPr>
            <w:tcW w:type="dxa" w:w="14967"/>
          </w:tcPr>
          <w:p>
            <w:r>
              <w:rPr>
                <w:b w:val="0"/>
                <w:i w:val="0"/>
                <w:sz w:val="18"/>
              </w:rPr>
              <w:t>Leer habitualmente para aprender y recrearse, y seleccionar textos de acuerdo con sus preferencias y propósitos.</w:t>
            </w:r>
          </w:p>
        </w:tc>
      </w:tr>
      <w:tr>
        <w:trPr>
          <w:cantSplit/>
        </w:trPr>
        <w:tc>
          <w:tcPr>
            <w:tcW w:type="dxa" w:w="1701"/>
          </w:tcPr>
          <w:p>
            <w:r>
              <w:rPr>
                <w:b/>
                <w:i w:val="0"/>
                <w:sz w:val="18"/>
              </w:rPr>
              <w:t>OA 2</w:t>
            </w:r>
          </w:p>
          <w:p>
            <w:r>
              <w:rPr>
                <w:b w:val="0"/>
                <w:i w:val="0"/>
                <w:color w:val="595959"/>
                <w:sz w:val="14"/>
              </w:rPr>
              <w:t>(B 56 · P 54)</w:t>
            </w:r>
          </w:p>
        </w:tc>
        <w:tc>
          <w:tcPr>
            <w:tcW w:type="dxa" w:w="14967"/>
          </w:tcPr>
          <w:p>
            <w:r>
              <w:rPr>
                <w:b w:val="0"/>
                <w:i w:val="0"/>
                <w:sz w:val="18"/>
              </w:rPr>
              <w:t>Reflexionar sobre las diferentes dimensiones de la experiencia humana, propia y ajena, a partir de la lectura de obras literarias y otros textos que forman parte de nuestras herencias culturales, abordando los temas estipulados para el curso y las obras sugeridas para cada uno.</w:t>
            </w:r>
          </w:p>
        </w:tc>
      </w:tr>
      <w:tr>
        <w:trPr>
          <w:cantSplit/>
        </w:trPr>
        <w:tc>
          <w:tcPr>
            <w:tcW w:type="dxa" w:w="1701"/>
          </w:tcPr>
          <w:p>
            <w:r>
              <w:rPr>
                <w:b/>
                <w:i w:val="0"/>
                <w:sz w:val="18"/>
              </w:rPr>
              <w:t>OA 3</w:t>
            </w:r>
          </w:p>
          <w:p>
            <w:r>
              <w:rPr>
                <w:b w:val="0"/>
                <w:i w:val="0"/>
                <w:color w:val="595959"/>
                <w:sz w:val="14"/>
              </w:rPr>
              <w:t>(B 56 · P 54)</w:t>
            </w:r>
          </w:p>
        </w:tc>
        <w:tc>
          <w:tcPr>
            <w:tcW w:type="dxa" w:w="14967"/>
          </w:tcPr>
          <w:p>
            <w:r>
              <w:rPr>
                <w:b w:val="0"/>
                <w:i w:val="0"/>
                <w:sz w:val="18"/>
              </w:rPr>
              <w:t>Analizar las narraciones leídas para enriquecer su comprensión, considerando, cuando sea pertinente:</w:t>
            </w:r>
          </w:p>
          <w:p>
            <w:pPr>
              <w:pStyle w:val="ListBullet"/>
              <w:spacing w:after="20"/>
              <w:ind w:left="198" w:hanging="170"/>
            </w:pPr>
            <w:r>
              <w:rPr>
                <w:b w:val="0"/>
                <w:i w:val="0"/>
                <w:sz w:val="18"/>
              </w:rPr>
              <w:t>El o los conflictos de la historia.</w:t>
            </w:r>
          </w:p>
          <w:p>
            <w:pPr>
              <w:pStyle w:val="ListBullet"/>
              <w:spacing w:after="20"/>
              <w:ind w:left="198" w:hanging="170"/>
            </w:pPr>
            <w:r>
              <w:rPr>
                <w:b w:val="0"/>
                <w:i w:val="0"/>
                <w:sz w:val="18"/>
              </w:rPr>
              <w:t>Los personajes, su evolución en el relato y su relación con otros personajes.</w:t>
            </w:r>
          </w:p>
          <w:p>
            <w:pPr>
              <w:pStyle w:val="ListBullet"/>
              <w:spacing w:after="20"/>
              <w:ind w:left="198" w:hanging="170"/>
            </w:pPr>
            <w:r>
              <w:rPr>
                <w:b w:val="0"/>
                <w:i w:val="0"/>
                <w:sz w:val="18"/>
              </w:rPr>
              <w:t>La relación de un fragmento de la obra con el total.</w:t>
            </w:r>
          </w:p>
          <w:p>
            <w:pPr>
              <w:pStyle w:val="ListBullet"/>
              <w:spacing w:after="20"/>
              <w:ind w:left="198" w:hanging="170"/>
            </w:pPr>
            <w:r>
              <w:rPr>
                <w:b w:val="0"/>
                <w:i w:val="0"/>
                <w:sz w:val="18"/>
              </w:rPr>
              <w:t>El narrador, distinguiéndolo del autor.</w:t>
            </w:r>
          </w:p>
          <w:p>
            <w:pPr>
              <w:pStyle w:val="ListBullet"/>
              <w:spacing w:after="20"/>
              <w:ind w:left="198" w:hanging="170"/>
            </w:pPr>
            <w:r>
              <w:rPr>
                <w:b w:val="0"/>
                <w:i w:val="0"/>
                <w:sz w:val="18"/>
              </w:rPr>
              <w:t>Personajes tipo (por ejemplo, el pícaro, el avaro, el seductor, la madrastra, etc.), símbolos y tópicos literarios presentes en el texto.</w:t>
            </w:r>
          </w:p>
          <w:p>
            <w:pPr>
              <w:pStyle w:val="ListBullet"/>
              <w:spacing w:after="20"/>
              <w:ind w:left="198" w:hanging="170"/>
            </w:pPr>
            <w:r>
              <w:rPr>
                <w:b w:val="0"/>
                <w:i w:val="0"/>
                <w:sz w:val="18"/>
              </w:rPr>
              <w:t>Los prejuicios, estereotipos y creencias presentes en el relato y su conexión con el mundo actual.</w:t>
            </w:r>
          </w:p>
          <w:p>
            <w:pPr>
              <w:pStyle w:val="ListBullet"/>
              <w:spacing w:after="20"/>
              <w:ind w:left="198" w:hanging="170"/>
            </w:pPr>
            <w:r>
              <w:rPr>
                <w:b w:val="0"/>
                <w:i w:val="0"/>
                <w:sz w:val="18"/>
              </w:rPr>
              <w:t>La disposición temporal de los hechos, con atención a los recursos léxicos y gramaticales empleados para expresarla.</w:t>
            </w:r>
          </w:p>
          <w:p>
            <w:pPr>
              <w:pStyle w:val="ListBullet"/>
              <w:spacing w:after="20"/>
              <w:ind w:left="198" w:hanging="170"/>
            </w:pPr>
            <w:r>
              <w:rPr>
                <w:b w:val="0"/>
                <w:i w:val="0"/>
                <w:sz w:val="18"/>
              </w:rPr>
              <w:t>Elementos en común con otros textos leídos en el año.</w:t>
            </w:r>
          </w:p>
        </w:tc>
      </w:tr>
      <w:tr>
        <w:trPr>
          <w:cantSplit/>
        </w:trPr>
        <w:tc>
          <w:tcPr>
            <w:tcW w:type="dxa" w:w="1701"/>
          </w:tcPr>
          <w:p>
            <w:r>
              <w:rPr>
                <w:b/>
                <w:i w:val="0"/>
                <w:sz w:val="18"/>
              </w:rPr>
              <w:t>OA 4</w:t>
            </w:r>
          </w:p>
          <w:p>
            <w:r>
              <w:rPr>
                <w:b w:val="0"/>
                <w:i w:val="0"/>
                <w:color w:val="595959"/>
                <w:sz w:val="14"/>
              </w:rPr>
              <w:t>(B 56 · P 54)</w:t>
            </w:r>
          </w:p>
        </w:tc>
        <w:tc>
          <w:tcPr>
            <w:tcW w:type="dxa" w:w="14967"/>
          </w:tcPr>
          <w:p>
            <w:r>
              <w:rPr>
                <w:b w:val="0"/>
                <w:i w:val="0"/>
                <w:sz w:val="18"/>
              </w:rPr>
              <w:t>Analizar los poemas leídos para enriquecer su comprensión, considerando, cuando sea pertinente:</w:t>
            </w:r>
          </w:p>
          <w:p>
            <w:pPr>
              <w:pStyle w:val="ListBullet"/>
              <w:spacing w:after="20"/>
              <w:ind w:left="198" w:hanging="170"/>
            </w:pPr>
            <w:r>
              <w:rPr>
                <w:b w:val="0"/>
                <w:i w:val="0"/>
                <w:sz w:val="18"/>
              </w:rPr>
              <w:t>Cómo el lenguaje poético que emplea el autor apela a los sentidos, sugiere estados de ánimo y crea imágenes .</w:t>
            </w:r>
          </w:p>
          <w:p>
            <w:pPr>
              <w:pStyle w:val="ListBullet"/>
              <w:spacing w:after="20"/>
              <w:ind w:left="198" w:hanging="170"/>
            </w:pPr>
            <w:r>
              <w:rPr>
                <w:b w:val="0"/>
                <w:i w:val="0"/>
                <w:sz w:val="18"/>
              </w:rPr>
              <w:t>El significado o el efecto que produce el uso de lenguaje figurado en el poema.</w:t>
            </w:r>
          </w:p>
          <w:p>
            <w:pPr>
              <w:pStyle w:val="ListBullet"/>
              <w:spacing w:after="20"/>
              <w:ind w:left="198" w:hanging="170"/>
            </w:pPr>
            <w:r>
              <w:rPr>
                <w:b w:val="0"/>
                <w:i w:val="0"/>
                <w:sz w:val="18"/>
              </w:rPr>
              <w:t>El efecto que tiene el uso de repeticiones (de estructuras, sonidos, palabras o ideas) en el poema.</w:t>
            </w:r>
          </w:p>
          <w:p>
            <w:pPr>
              <w:pStyle w:val="ListBullet"/>
              <w:spacing w:after="20"/>
              <w:ind w:left="198" w:hanging="170"/>
            </w:pPr>
            <w:r>
              <w:rPr>
                <w:b w:val="0"/>
                <w:i w:val="0"/>
                <w:sz w:val="18"/>
              </w:rPr>
              <w:t>Elementos en común con otros textos leídos en el año.</w:t>
            </w:r>
          </w:p>
        </w:tc>
      </w:tr>
      <w:tr>
        <w:trPr>
          <w:cantSplit/>
        </w:trPr>
        <w:tc>
          <w:tcPr>
            <w:tcW w:type="dxa" w:w="1701"/>
          </w:tcPr>
          <w:p>
            <w:r>
              <w:rPr>
                <w:b/>
                <w:i w:val="0"/>
                <w:sz w:val="18"/>
              </w:rPr>
              <w:t>OA 5</w:t>
            </w:r>
          </w:p>
          <w:p>
            <w:r>
              <w:rPr>
                <w:b w:val="0"/>
                <w:i w:val="0"/>
                <w:color w:val="595959"/>
                <w:sz w:val="14"/>
              </w:rPr>
              <w:t>(B 56 · P 55)</w:t>
            </w:r>
          </w:p>
        </w:tc>
        <w:tc>
          <w:tcPr>
            <w:tcW w:type="dxa" w:w="14967"/>
          </w:tcPr>
          <w:p>
            <w:r>
              <w:rPr>
                <w:b w:val="0"/>
                <w:i w:val="0"/>
                <w:sz w:val="18"/>
              </w:rPr>
              <w:t>Analizar los textos dramáticos leídos o vistos, para enriquecer su comprensión, considerando, cuando sea pertinente:</w:t>
            </w:r>
          </w:p>
          <w:p>
            <w:pPr>
              <w:pStyle w:val="ListBullet"/>
              <w:spacing w:after="20"/>
              <w:ind w:left="198" w:hanging="170"/>
            </w:pPr>
            <w:r>
              <w:rPr>
                <w:b w:val="0"/>
                <w:i w:val="0"/>
                <w:sz w:val="18"/>
              </w:rPr>
              <w:t>El conflicto y sus semejanzas con situaciones cotidianas.</w:t>
            </w:r>
          </w:p>
          <w:p>
            <w:pPr>
              <w:pStyle w:val="ListBullet"/>
              <w:spacing w:after="20"/>
              <w:ind w:left="198" w:hanging="170"/>
            </w:pPr>
            <w:r>
              <w:rPr>
                <w:b w:val="0"/>
                <w:i w:val="0"/>
                <w:sz w:val="18"/>
              </w:rPr>
              <w:t>Los personajes principales y cómo sus acciones y dichos conducen al desenlace o afectan a otros personajes.</w:t>
            </w:r>
          </w:p>
          <w:p>
            <w:pPr>
              <w:pStyle w:val="ListBullet"/>
              <w:spacing w:after="20"/>
              <w:ind w:left="198" w:hanging="170"/>
            </w:pPr>
            <w:r>
              <w:rPr>
                <w:b w:val="0"/>
                <w:i w:val="0"/>
                <w:sz w:val="18"/>
              </w:rPr>
              <w:t>Personajes tipo, símbolos y tópicos literarios.</w:t>
            </w:r>
          </w:p>
          <w:p>
            <w:pPr>
              <w:pStyle w:val="ListBullet"/>
              <w:spacing w:after="20"/>
              <w:ind w:left="198" w:hanging="170"/>
            </w:pPr>
            <w:r>
              <w:rPr>
                <w:b w:val="0"/>
                <w:i w:val="0"/>
                <w:sz w:val="18"/>
              </w:rPr>
              <w:t>Los prejuicios, estereotipos y creencias presentes en el relato y su conexión con el mundo actual.</w:t>
            </w:r>
          </w:p>
          <w:p>
            <w:pPr>
              <w:pStyle w:val="ListBullet"/>
              <w:spacing w:after="20"/>
              <w:ind w:left="198" w:hanging="170"/>
            </w:pPr>
            <w:r>
              <w:rPr>
                <w:b w:val="0"/>
                <w:i w:val="0"/>
                <w:sz w:val="18"/>
              </w:rPr>
              <w:t>Las características del género dramático.</w:t>
            </w:r>
          </w:p>
          <w:p>
            <w:pPr>
              <w:pStyle w:val="ListBullet"/>
              <w:spacing w:after="20"/>
              <w:ind w:left="198" w:hanging="170"/>
            </w:pPr>
            <w:r>
              <w:rPr>
                <w:b w:val="0"/>
                <w:i w:val="0"/>
                <w:sz w:val="18"/>
              </w:rPr>
              <w:t>La diferencia entre obra dramática y obra teatral.</w:t>
            </w:r>
          </w:p>
          <w:p>
            <w:pPr>
              <w:pStyle w:val="ListBullet"/>
              <w:spacing w:after="20"/>
              <w:ind w:left="198" w:hanging="170"/>
            </w:pPr>
            <w:r>
              <w:rPr>
                <w:b w:val="0"/>
                <w:i w:val="0"/>
                <w:sz w:val="18"/>
              </w:rPr>
              <w:t>Elementos en común con otros textos leídos en el año.</w:t>
            </w:r>
          </w:p>
        </w:tc>
      </w:tr>
      <w:tr>
        <w:trPr>
          <w:cantSplit/>
        </w:trPr>
        <w:tc>
          <w:tcPr>
            <w:tcW w:type="dxa" w:w="1701"/>
          </w:tcPr>
          <w:p>
            <w:r>
              <w:rPr>
                <w:b/>
                <w:i w:val="0"/>
                <w:sz w:val="18"/>
              </w:rPr>
              <w:t>OA 6</w:t>
            </w:r>
          </w:p>
          <w:p>
            <w:r>
              <w:rPr>
                <w:b w:val="0"/>
                <w:i w:val="0"/>
                <w:color w:val="595959"/>
                <w:sz w:val="14"/>
              </w:rPr>
              <w:t>(B 57 · P 55)</w:t>
            </w:r>
          </w:p>
        </w:tc>
        <w:tc>
          <w:tcPr>
            <w:tcW w:type="dxa" w:w="14967"/>
          </w:tcPr>
          <w:p>
            <w:r>
              <w:rPr>
                <w:b w:val="0"/>
                <w:i w:val="0"/>
                <w:sz w:val="18"/>
              </w:rPr>
              <w:t>Leer y comprender fragmentos de epopeya, considerando sus características y el contexto en el que se enmarcan.</w:t>
            </w:r>
          </w:p>
        </w:tc>
      </w:tr>
      <w:tr>
        <w:trPr>
          <w:cantSplit/>
        </w:trPr>
        <w:tc>
          <w:tcPr>
            <w:tcW w:type="dxa" w:w="1701"/>
          </w:tcPr>
          <w:p>
            <w:r>
              <w:rPr>
                <w:b/>
                <w:i w:val="0"/>
                <w:sz w:val="18"/>
              </w:rPr>
              <w:t>OA 7</w:t>
            </w:r>
          </w:p>
          <w:p>
            <w:r>
              <w:rPr>
                <w:b w:val="0"/>
                <w:i w:val="0"/>
                <w:color w:val="595959"/>
                <w:sz w:val="14"/>
              </w:rPr>
              <w:t>(B 57 · P 55)</w:t>
            </w:r>
          </w:p>
        </w:tc>
        <w:tc>
          <w:tcPr>
            <w:tcW w:type="dxa" w:w="14967"/>
          </w:tcPr>
          <w:p>
            <w:r>
              <w:rPr>
                <w:b w:val="0"/>
                <w:i w:val="0"/>
                <w:sz w:val="18"/>
              </w:rPr>
              <w:t>Leer y comprender comedias teatrales, considerando sus características y el contexto en el que se enmarcan.</w:t>
            </w:r>
          </w:p>
        </w:tc>
      </w:tr>
      <w:tr>
        <w:trPr>
          <w:cantSplit/>
        </w:trPr>
        <w:tc>
          <w:tcPr>
            <w:tcW w:type="dxa" w:w="1701"/>
          </w:tcPr>
          <w:p>
            <w:r>
              <w:rPr>
                <w:b/>
                <w:i w:val="0"/>
                <w:sz w:val="18"/>
              </w:rPr>
              <w:t>OA 8</w:t>
            </w:r>
          </w:p>
          <w:p>
            <w:r>
              <w:rPr>
                <w:b w:val="0"/>
                <w:i w:val="0"/>
                <w:color w:val="595959"/>
                <w:sz w:val="14"/>
              </w:rPr>
              <w:t>(B 57 · P 55)</w:t>
            </w:r>
          </w:p>
        </w:tc>
        <w:tc>
          <w:tcPr>
            <w:tcW w:type="dxa" w:w="14967"/>
          </w:tcPr>
          <w:p>
            <w:r>
              <w:rPr>
                <w:b w:val="0"/>
                <w:i w:val="0"/>
                <w:sz w:val="18"/>
              </w:rPr>
              <w:t>Formular una interpretación de los textos literarios leídos o vistos, que sea coherente con su análisis, considerando:</w:t>
            </w:r>
          </w:p>
          <w:p>
            <w:pPr>
              <w:pStyle w:val="ListBullet"/>
              <w:spacing w:after="20"/>
              <w:ind w:left="198" w:hanging="170"/>
            </w:pPr>
            <w:r>
              <w:rPr>
                <w:b w:val="0"/>
                <w:i w:val="0"/>
                <w:sz w:val="18"/>
              </w:rPr>
              <w:t>Su experiencia personal y sus conocimientos.</w:t>
            </w:r>
          </w:p>
          <w:p>
            <w:pPr>
              <w:pStyle w:val="ListBullet"/>
              <w:spacing w:after="20"/>
              <w:ind w:left="198" w:hanging="170"/>
            </w:pPr>
            <w:r>
              <w:rPr>
                <w:b w:val="0"/>
                <w:i w:val="0"/>
                <w:sz w:val="18"/>
              </w:rPr>
              <w:t>Un dilema presentado en el texto y su postura personal acerca del mismo.</w:t>
            </w:r>
          </w:p>
          <w:p>
            <w:pPr>
              <w:pStyle w:val="ListBullet"/>
              <w:spacing w:after="20"/>
              <w:ind w:left="198" w:hanging="170"/>
            </w:pPr>
            <w:r>
              <w:rPr>
                <w:b w:val="0"/>
                <w:i w:val="0"/>
                <w:sz w:val="18"/>
              </w:rPr>
              <w:t>La relación de la obra con la visión de mundo y el contexto histórico en el que se ambienta y/o en el que fue creada.</w:t>
            </w:r>
          </w:p>
        </w:tc>
      </w:tr>
      <w:tr>
        <w:trPr>
          <w:cantSplit/>
        </w:trPr>
        <w:tc>
          <w:tcPr>
            <w:tcW w:type="dxa" w:w="1701"/>
          </w:tcPr>
          <w:p>
            <w:r>
              <w:rPr>
                <w:b/>
                <w:i w:val="0"/>
                <w:sz w:val="18"/>
              </w:rPr>
              <w:t>OA 9</w:t>
            </w:r>
          </w:p>
          <w:p>
            <w:r>
              <w:rPr>
                <w:b w:val="0"/>
                <w:i w:val="0"/>
                <w:color w:val="595959"/>
                <w:sz w:val="14"/>
              </w:rPr>
              <w:t>(B 57 · P 55)</w:t>
            </w:r>
          </w:p>
        </w:tc>
        <w:tc>
          <w:tcPr>
            <w:tcW w:type="dxa" w:w="14967"/>
          </w:tcPr>
          <w:p>
            <w:r>
              <w:rPr>
                <w:b w:val="0"/>
                <w:i w:val="0"/>
                <w:sz w:val="18"/>
              </w:rPr>
              <w:t>Analizar y evaluar textos con finalidad argumentativa como columnas de opinión, cartas y discursos, considerando:</w:t>
            </w:r>
          </w:p>
          <w:p>
            <w:pPr>
              <w:pStyle w:val="ListBullet"/>
              <w:spacing w:after="20"/>
              <w:ind w:left="198" w:hanging="170"/>
            </w:pPr>
            <w:r>
              <w:rPr>
                <w:b w:val="0"/>
                <w:i w:val="0"/>
                <w:sz w:val="18"/>
              </w:rPr>
              <w:t>La postura del autor y los argumentos e información que la sostienen.</w:t>
            </w:r>
          </w:p>
          <w:p>
            <w:pPr>
              <w:pStyle w:val="ListBullet"/>
              <w:spacing w:after="20"/>
              <w:ind w:left="198" w:hanging="170"/>
            </w:pPr>
            <w:r>
              <w:rPr>
                <w:b w:val="0"/>
                <w:i w:val="0"/>
                <w:sz w:val="18"/>
              </w:rPr>
              <w:t>La diferencia entre hecho y opinión.</w:t>
            </w:r>
          </w:p>
          <w:p>
            <w:pPr>
              <w:pStyle w:val="ListBullet"/>
              <w:spacing w:after="20"/>
              <w:ind w:left="198" w:hanging="170"/>
            </w:pPr>
            <w:r>
              <w:rPr>
                <w:b w:val="0"/>
                <w:i w:val="0"/>
                <w:sz w:val="18"/>
              </w:rPr>
              <w:t>Con qué intención el autor usa diversos modos verbales.</w:t>
            </w:r>
          </w:p>
          <w:p>
            <w:pPr>
              <w:pStyle w:val="ListBullet"/>
              <w:spacing w:after="20"/>
              <w:ind w:left="198" w:hanging="170"/>
            </w:pPr>
            <w:r>
              <w:rPr>
                <w:b w:val="0"/>
                <w:i w:val="0"/>
                <w:sz w:val="18"/>
              </w:rPr>
              <w:t>Su postura personal frente a lo leído y argumentos que la sustentan.</w:t>
            </w:r>
          </w:p>
        </w:tc>
      </w:tr>
      <w:tr>
        <w:trPr>
          <w:cantSplit/>
        </w:trPr>
        <w:tc>
          <w:tcPr>
            <w:tcW w:type="dxa" w:w="1701"/>
          </w:tcPr>
          <w:p>
            <w:r>
              <w:rPr>
                <w:b/>
                <w:i w:val="0"/>
                <w:sz w:val="18"/>
              </w:rPr>
              <w:t>OA 10</w:t>
            </w:r>
          </w:p>
          <w:p>
            <w:r>
              <w:rPr>
                <w:b w:val="0"/>
                <w:i w:val="0"/>
                <w:color w:val="595959"/>
                <w:sz w:val="14"/>
              </w:rPr>
              <w:t>(B 57 · P 55)</w:t>
            </w:r>
          </w:p>
        </w:tc>
        <w:tc>
          <w:tcPr>
            <w:tcW w:type="dxa" w:w="14967"/>
          </w:tcPr>
          <w:p>
            <w:r>
              <w:rPr>
                <w:b w:val="0"/>
                <w:i w:val="0"/>
                <w:sz w:val="18"/>
              </w:rPr>
              <w:t>Analizar y evaluar textos de los medios de comunicación, como noticias, reportajes, cartas al director, textos publicitarios o de las redes sociales, considerando:</w:t>
            </w:r>
          </w:p>
          <w:p>
            <w:pPr>
              <w:pStyle w:val="ListBullet"/>
              <w:spacing w:after="20"/>
              <w:ind w:left="198" w:hanging="170"/>
            </w:pPr>
            <w:r>
              <w:rPr>
                <w:b w:val="0"/>
                <w:i w:val="0"/>
                <w:sz w:val="18"/>
              </w:rPr>
              <w:t>Los propósitos explícitos e implícitos del texto.</w:t>
            </w:r>
          </w:p>
          <w:p>
            <w:pPr>
              <w:pStyle w:val="ListBullet"/>
              <w:spacing w:after="20"/>
              <w:ind w:left="198" w:hanging="170"/>
            </w:pPr>
            <w:r>
              <w:rPr>
                <w:b w:val="0"/>
                <w:i w:val="0"/>
                <w:sz w:val="18"/>
              </w:rPr>
              <w:t>Una distinción entre los hechos y las opiniones expresados.</w:t>
            </w:r>
          </w:p>
          <w:p>
            <w:pPr>
              <w:pStyle w:val="ListBullet"/>
              <w:spacing w:after="20"/>
              <w:ind w:left="198" w:hanging="170"/>
            </w:pPr>
            <w:r>
              <w:rPr>
                <w:b w:val="0"/>
                <w:i w:val="0"/>
                <w:sz w:val="18"/>
              </w:rPr>
              <w:t>Presencia de estereotipos y prejuicios.</w:t>
            </w:r>
          </w:p>
          <w:p>
            <w:pPr>
              <w:pStyle w:val="ListBullet"/>
              <w:spacing w:after="20"/>
              <w:ind w:left="198" w:hanging="170"/>
            </w:pPr>
            <w:r>
              <w:rPr>
                <w:b w:val="0"/>
                <w:i w:val="0"/>
                <w:sz w:val="18"/>
              </w:rPr>
              <w:t>La suficiencia de información entregada.</w:t>
            </w:r>
          </w:p>
          <w:p>
            <w:pPr>
              <w:pStyle w:val="ListBullet"/>
              <w:spacing w:after="20"/>
              <w:ind w:left="198" w:hanging="170"/>
            </w:pPr>
            <w:r>
              <w:rPr>
                <w:b w:val="0"/>
                <w:i w:val="0"/>
                <w:sz w:val="18"/>
              </w:rPr>
              <w:t>El análisis e interpretación de imágenes, gráficos, tablas, mapas o diagramas, y su relación con el texto en el que están insertos.</w:t>
            </w:r>
          </w:p>
          <w:p>
            <w:pPr>
              <w:pStyle w:val="ListBullet"/>
              <w:spacing w:after="20"/>
              <w:ind w:left="198" w:hanging="170"/>
            </w:pPr>
            <w:r>
              <w:rPr>
                <w:b w:val="0"/>
                <w:i w:val="0"/>
                <w:sz w:val="18"/>
              </w:rPr>
              <w:t>Similitudes y diferencias en la forma en que distintas fuentes presentan un mismo hecho.</w:t>
            </w:r>
          </w:p>
        </w:tc>
      </w:tr>
      <w:tr>
        <w:trPr>
          <w:cantSplit/>
        </w:trPr>
        <w:tc>
          <w:tcPr>
            <w:tcW w:type="dxa" w:w="1701"/>
          </w:tcPr>
          <w:p>
            <w:r>
              <w:rPr>
                <w:b/>
                <w:i w:val="0"/>
                <w:sz w:val="18"/>
              </w:rPr>
              <w:t>OA 11</w:t>
            </w:r>
          </w:p>
          <w:p>
            <w:r>
              <w:rPr>
                <w:b w:val="0"/>
                <w:i w:val="0"/>
                <w:color w:val="595959"/>
                <w:sz w:val="14"/>
              </w:rPr>
              <w:t>(B 58 · P 55)</w:t>
            </w:r>
          </w:p>
        </w:tc>
        <w:tc>
          <w:tcPr>
            <w:tcW w:type="dxa" w:w="14967"/>
          </w:tcPr>
          <w:p>
            <w:r>
              <w:rPr>
                <w:b w:val="0"/>
                <w:i w:val="0"/>
                <w:sz w:val="18"/>
              </w:rPr>
              <w:t>Leer y comprender textos no literarios para contextualizar y complementar las lecturas literarias realizadas en clases.</w:t>
            </w:r>
          </w:p>
        </w:tc>
      </w:tr>
      <w:tr>
        <w:trPr>
          <w:cantSplit/>
        </w:trPr>
        <w:tc>
          <w:tcPr>
            <w:tcW w:type="dxa" w:w="1701"/>
          </w:tcPr>
          <w:p>
            <w:r>
              <w:rPr>
                <w:b/>
                <w:i w:val="0"/>
                <w:sz w:val="18"/>
              </w:rPr>
              <w:t>OA 12</w:t>
            </w:r>
          </w:p>
          <w:p>
            <w:r>
              <w:rPr>
                <w:b w:val="0"/>
                <w:i w:val="0"/>
                <w:color w:val="595959"/>
                <w:sz w:val="14"/>
              </w:rPr>
              <w:t>(B 58 · P 56)</w:t>
            </w:r>
          </w:p>
        </w:tc>
        <w:tc>
          <w:tcPr>
            <w:tcW w:type="dxa" w:w="14967"/>
          </w:tcPr>
          <w:p>
            <w:r>
              <w:rPr>
                <w:b w:val="0"/>
                <w:i w:val="0"/>
                <w:sz w:val="18"/>
              </w:rPr>
              <w:t>Aplicar estrategias de comprensión de acuerdo con sus propósitos de lectura:</w:t>
            </w:r>
          </w:p>
          <w:p>
            <w:pPr>
              <w:pStyle w:val="ListBullet"/>
              <w:spacing w:after="20"/>
              <w:ind w:left="198" w:hanging="170"/>
            </w:pPr>
            <w:r>
              <w:rPr>
                <w:b w:val="0"/>
                <w:i w:val="0"/>
                <w:sz w:val="18"/>
              </w:rPr>
              <w:t>Resumir.</w:t>
            </w:r>
          </w:p>
          <w:p>
            <w:pPr>
              <w:pStyle w:val="ListBullet"/>
              <w:spacing w:after="20"/>
              <w:ind w:left="198" w:hanging="170"/>
            </w:pPr>
            <w:r>
              <w:rPr>
                <w:b w:val="0"/>
                <w:i w:val="0"/>
                <w:sz w:val="18"/>
              </w:rPr>
              <w:t>Formular preguntas.</w:t>
            </w:r>
          </w:p>
          <w:p>
            <w:pPr>
              <w:pStyle w:val="ListBullet"/>
              <w:spacing w:after="20"/>
              <w:ind w:left="198" w:hanging="170"/>
            </w:pPr>
            <w:r>
              <w:rPr>
                <w:b w:val="0"/>
                <w:i w:val="0"/>
                <w:sz w:val="18"/>
              </w:rPr>
              <w:t>Analizar los distintos tipos de relaciones que establecen las imágenes o el sonido con el texto escrito (en textos multimodales).</w:t>
            </w:r>
          </w:p>
        </w:tc>
      </w:tr>
      <w:tr>
        <w:tc>
          <w:tcPr>
            <w:tcW w:type="dxa" w:w="16668"/>
            <w:gridSpan w:val="2"/>
          </w:tcPr>
          <w:p>
            <w:r/>
            <w:r>
              <w:rPr>
                <w:b/>
                <w:i w:val="0"/>
                <w:sz w:val="18"/>
              </w:rPr>
              <w:t>ESCRITURA</w:t>
            </w:r>
          </w:p>
        </w:tc>
      </w:tr>
      <w:tr>
        <w:trPr>
          <w:cantSplit/>
        </w:trPr>
        <w:tc>
          <w:tcPr>
            <w:tcW w:type="dxa" w:w="1701"/>
          </w:tcPr>
          <w:p>
            <w:r>
              <w:rPr>
                <w:b/>
                <w:i w:val="0"/>
                <w:sz w:val="18"/>
              </w:rPr>
              <w:t>OA 13</w:t>
            </w:r>
          </w:p>
          <w:p>
            <w:r>
              <w:rPr>
                <w:b w:val="0"/>
                <w:i w:val="0"/>
                <w:color w:val="595959"/>
                <w:sz w:val="14"/>
              </w:rPr>
              <w:t>(B 58 · P 56)</w:t>
            </w:r>
          </w:p>
        </w:tc>
        <w:tc>
          <w:tcPr>
            <w:tcW w:type="dxa" w:w="14967"/>
          </w:tcPr>
          <w:p>
            <w:r>
              <w:rPr>
                <w:b w:val="0"/>
                <w:i w:val="0"/>
                <w:sz w:val="18"/>
              </w:rPr>
              <w:t>Expresarse en forma creativa por medio de la escritura de textos de diversos géneros (por ejemplo, cuentos, crónicas, diarios de vida, cartas, poemas, etc.), escogiendo libremente:</w:t>
            </w:r>
          </w:p>
          <w:p>
            <w:pPr>
              <w:pStyle w:val="ListBullet"/>
              <w:spacing w:after="20"/>
              <w:ind w:left="198" w:hanging="170"/>
            </w:pPr>
            <w:r>
              <w:rPr>
                <w:b w:val="0"/>
                <w:i w:val="0"/>
                <w:sz w:val="18"/>
              </w:rPr>
              <w:t>El tema.</w:t>
            </w:r>
          </w:p>
          <w:p>
            <w:pPr>
              <w:pStyle w:val="ListBullet"/>
              <w:spacing w:after="20"/>
              <w:ind w:left="198" w:hanging="170"/>
            </w:pPr>
            <w:r>
              <w:rPr>
                <w:b w:val="0"/>
                <w:i w:val="0"/>
                <w:sz w:val="18"/>
              </w:rPr>
              <w:t>El género.</w:t>
            </w:r>
          </w:p>
          <w:p>
            <w:pPr>
              <w:pStyle w:val="ListBullet"/>
              <w:spacing w:after="20"/>
              <w:ind w:left="198" w:hanging="170"/>
            </w:pPr>
            <w:r>
              <w:rPr>
                <w:b w:val="0"/>
                <w:i w:val="0"/>
                <w:sz w:val="18"/>
              </w:rPr>
              <w:t>El destinatario.</w:t>
            </w:r>
          </w:p>
        </w:tc>
      </w:tr>
      <w:tr>
        <w:trPr>
          <w:cantSplit/>
        </w:trPr>
        <w:tc>
          <w:tcPr>
            <w:tcW w:type="dxa" w:w="1701"/>
          </w:tcPr>
          <w:p>
            <w:r>
              <w:rPr>
                <w:b/>
                <w:i w:val="0"/>
                <w:sz w:val="18"/>
              </w:rPr>
              <w:t>OA 14</w:t>
            </w:r>
          </w:p>
          <w:p>
            <w:r>
              <w:rPr>
                <w:b w:val="0"/>
                <w:i w:val="0"/>
                <w:color w:val="595959"/>
                <w:sz w:val="14"/>
              </w:rPr>
              <w:t>(B 58 · P 56)</w:t>
            </w:r>
          </w:p>
        </w:tc>
        <w:tc>
          <w:tcPr>
            <w:tcW w:type="dxa" w:w="14967"/>
          </w:tcPr>
          <w:p>
            <w:r>
              <w:rPr>
                <w:b w:val="0"/>
                <w:i w:val="0"/>
                <w:sz w:val="18"/>
              </w:rPr>
              <w:t>Escribir, con el propósito de explicar un tema, textos de diversos géneros (por ejemplo, artículos, informes, reportajes, etc.) caracterizados por:</w:t>
            </w:r>
          </w:p>
          <w:p>
            <w:pPr>
              <w:pStyle w:val="ListBullet"/>
              <w:spacing w:after="20"/>
              <w:ind w:left="198" w:hanging="170"/>
            </w:pPr>
            <w:r>
              <w:rPr>
                <w:b w:val="0"/>
                <w:i w:val="0"/>
                <w:sz w:val="18"/>
              </w:rPr>
              <w:t>Una presentación clara del tema en que se esbozan los aspectos que se abordarán.</w:t>
            </w:r>
          </w:p>
          <w:p>
            <w:pPr>
              <w:pStyle w:val="ListBullet"/>
              <w:spacing w:after="20"/>
              <w:ind w:left="198" w:hanging="170"/>
            </w:pPr>
            <w:r>
              <w:rPr>
                <w:b w:val="0"/>
                <w:i w:val="0"/>
                <w:sz w:val="18"/>
              </w:rPr>
              <w:t>La presencia de información de distintas fuentes.</w:t>
            </w:r>
          </w:p>
          <w:p>
            <w:pPr>
              <w:pStyle w:val="ListBullet"/>
              <w:spacing w:after="20"/>
              <w:ind w:left="198" w:hanging="170"/>
            </w:pPr>
            <w:r>
              <w:rPr>
                <w:b w:val="0"/>
                <w:i w:val="0"/>
                <w:sz w:val="18"/>
              </w:rPr>
              <w:t>La inclusión de hechos, descripciones, ejemplos o explicaciones que desarrollen el tema.</w:t>
            </w:r>
          </w:p>
          <w:p>
            <w:pPr>
              <w:pStyle w:val="ListBullet"/>
              <w:spacing w:after="20"/>
              <w:ind w:left="198" w:hanging="170"/>
            </w:pPr>
            <w:r>
              <w:rPr>
                <w:b w:val="0"/>
                <w:i w:val="0"/>
                <w:sz w:val="18"/>
              </w:rPr>
              <w:t>Una progresión temática clara, con especial atención al empleo de recursos anafóricos.</w:t>
            </w:r>
          </w:p>
          <w:p>
            <w:pPr>
              <w:pStyle w:val="ListBullet"/>
              <w:spacing w:after="20"/>
              <w:ind w:left="198" w:hanging="170"/>
            </w:pPr>
            <w:r>
              <w:rPr>
                <w:b w:val="0"/>
                <w:i w:val="0"/>
                <w:sz w:val="18"/>
              </w:rPr>
              <w:t>El uso de imágenes u otros recursos gráficos pertinentes.</w:t>
            </w:r>
          </w:p>
          <w:p>
            <w:pPr>
              <w:pStyle w:val="ListBullet"/>
              <w:spacing w:after="20"/>
              <w:ind w:left="198" w:hanging="170"/>
            </w:pPr>
            <w:r>
              <w:rPr>
                <w:b w:val="0"/>
                <w:i w:val="0"/>
                <w:sz w:val="18"/>
              </w:rPr>
              <w:t>Un cierre coherente con las características del género.</w:t>
            </w:r>
          </w:p>
          <w:p>
            <w:pPr>
              <w:pStyle w:val="ListBullet"/>
              <w:spacing w:after="20"/>
              <w:ind w:left="198" w:hanging="170"/>
            </w:pPr>
            <w:r>
              <w:rPr>
                <w:b w:val="0"/>
                <w:i w:val="0"/>
                <w:sz w:val="18"/>
              </w:rPr>
              <w:t>El uso de referencias según un formato previamente acordado.</w:t>
            </w:r>
          </w:p>
        </w:tc>
      </w:tr>
      <w:tr>
        <w:trPr>
          <w:cantSplit/>
        </w:trPr>
        <w:tc>
          <w:tcPr>
            <w:tcW w:type="dxa" w:w="1701"/>
          </w:tcPr>
          <w:p>
            <w:r>
              <w:rPr>
                <w:b/>
                <w:i w:val="0"/>
                <w:sz w:val="18"/>
              </w:rPr>
              <w:t>OA 15</w:t>
            </w:r>
          </w:p>
          <w:p>
            <w:r>
              <w:rPr>
                <w:b w:val="0"/>
                <w:i w:val="0"/>
                <w:color w:val="595959"/>
                <w:sz w:val="14"/>
              </w:rPr>
              <w:t>(B 58 · P 56)</w:t>
            </w:r>
          </w:p>
        </w:tc>
        <w:tc>
          <w:tcPr>
            <w:tcW w:type="dxa" w:w="14967"/>
          </w:tcPr>
          <w:p>
            <w:r>
              <w:rPr>
                <w:b w:val="0"/>
                <w:i w:val="0"/>
                <w:sz w:val="18"/>
              </w:rPr>
              <w:t>Escribir, con el propósito de persuadir, textos breves de diversos géneros (por ejemplo, cartas al director, editoriales, críticas literarias, etc.), caracterizados por:</w:t>
            </w:r>
          </w:p>
          <w:p>
            <w:pPr>
              <w:pStyle w:val="ListBullet"/>
              <w:spacing w:after="20"/>
              <w:ind w:left="198" w:hanging="170"/>
            </w:pPr>
            <w:r>
              <w:rPr>
                <w:b w:val="0"/>
                <w:i w:val="0"/>
                <w:sz w:val="18"/>
              </w:rPr>
              <w:t>La presentación de una afirmación referida a temas contingentes o literarios.</w:t>
            </w:r>
          </w:p>
          <w:p>
            <w:pPr>
              <w:pStyle w:val="ListBullet"/>
              <w:spacing w:after="20"/>
              <w:ind w:left="198" w:hanging="170"/>
            </w:pPr>
            <w:r>
              <w:rPr>
                <w:b w:val="0"/>
                <w:i w:val="0"/>
                <w:sz w:val="18"/>
              </w:rPr>
              <w:t>La presencia de evidencias e información pertinente.</w:t>
            </w:r>
          </w:p>
          <w:p>
            <w:pPr>
              <w:pStyle w:val="ListBullet"/>
              <w:spacing w:after="20"/>
              <w:ind w:left="198" w:hanging="170"/>
            </w:pPr>
            <w:r>
              <w:rPr>
                <w:b w:val="0"/>
                <w:i w:val="0"/>
                <w:sz w:val="18"/>
              </w:rPr>
              <w:t>La mantención de la coherencia temática.</w:t>
            </w:r>
          </w:p>
        </w:tc>
      </w:tr>
      <w:tr>
        <w:trPr>
          <w:cantSplit/>
        </w:trPr>
        <w:tc>
          <w:tcPr>
            <w:tcW w:type="dxa" w:w="1701"/>
          </w:tcPr>
          <w:p>
            <w:r>
              <w:rPr>
                <w:b/>
                <w:i w:val="0"/>
                <w:sz w:val="18"/>
              </w:rPr>
              <w:t>OA 16</w:t>
            </w:r>
          </w:p>
          <w:p>
            <w:r>
              <w:rPr>
                <w:b w:val="0"/>
                <w:i w:val="0"/>
                <w:color w:val="595959"/>
                <w:sz w:val="14"/>
              </w:rPr>
              <w:t>(B 58 · P 57)</w:t>
            </w:r>
          </w:p>
        </w:tc>
        <w:tc>
          <w:tcPr>
            <w:tcW w:type="dxa" w:w="14967"/>
          </w:tcPr>
          <w:p>
            <w:r>
              <w:rPr>
                <w:b w:val="0"/>
                <w:i w:val="0"/>
                <w:sz w:val="18"/>
              </w:rPr>
              <w:t>Planificar, escribir, revisar, reescribir y editar sus textos en función del contexto, el destinatario y el propósito:</w:t>
            </w:r>
          </w:p>
          <w:p>
            <w:pPr>
              <w:pStyle w:val="ListBullet"/>
              <w:spacing w:after="20"/>
              <w:ind w:left="198" w:hanging="170"/>
            </w:pPr>
            <w:r>
              <w:rPr>
                <w:b w:val="0"/>
                <w:i w:val="0"/>
                <w:sz w:val="18"/>
              </w:rPr>
              <w:t>Recopilando información e ideas y organizándolas antes de escribir.</w:t>
            </w:r>
          </w:p>
          <w:p>
            <w:pPr>
              <w:pStyle w:val="ListBullet"/>
              <w:spacing w:after="20"/>
              <w:ind w:left="198" w:hanging="170"/>
            </w:pPr>
            <w:r>
              <w:rPr>
                <w:b w:val="0"/>
                <w:i w:val="0"/>
                <w:sz w:val="18"/>
              </w:rPr>
              <w:t>Adecuando el registro, específicamente, el vocabulario (uso de términos técnicos, frases hechas, palabras propias de las redes sociales, términos y expresiones propios del lenguaje hablado), el uso de la persona gramatical, y la estructura del texto al género discursivo, contexto y destinatario.</w:t>
            </w:r>
          </w:p>
          <w:p>
            <w:pPr>
              <w:pStyle w:val="ListBullet"/>
              <w:spacing w:after="20"/>
              <w:ind w:left="198" w:hanging="170"/>
            </w:pPr>
            <w:r>
              <w:rPr>
                <w:b w:val="0"/>
                <w:i w:val="0"/>
                <w:sz w:val="18"/>
              </w:rPr>
              <w:t>Incorporando información pertinente.</w:t>
            </w:r>
          </w:p>
          <w:p>
            <w:pPr>
              <w:pStyle w:val="ListBullet"/>
              <w:spacing w:after="20"/>
              <w:ind w:left="198" w:hanging="170"/>
            </w:pPr>
            <w:r>
              <w:rPr>
                <w:b w:val="0"/>
                <w:i w:val="0"/>
                <w:sz w:val="18"/>
              </w:rPr>
              <w:t>Asegurando la coherencia y la cohesión del texto.</w:t>
            </w:r>
          </w:p>
          <w:p>
            <w:pPr>
              <w:pStyle w:val="ListBullet"/>
              <w:spacing w:after="20"/>
              <w:ind w:left="198" w:hanging="170"/>
            </w:pPr>
            <w:r>
              <w:rPr>
                <w:b w:val="0"/>
                <w:i w:val="0"/>
                <w:sz w:val="18"/>
              </w:rPr>
              <w:t>Cuidando la organización a nivel oracional y textual.</w:t>
            </w:r>
          </w:p>
          <w:p>
            <w:pPr>
              <w:pStyle w:val="ListBullet"/>
              <w:spacing w:after="20"/>
              <w:ind w:left="198" w:hanging="170"/>
            </w:pPr>
            <w:r>
              <w:rPr>
                <w:b w:val="0"/>
                <w:i w:val="0"/>
                <w:sz w:val="18"/>
              </w:rPr>
              <w:t>Usando conectores adecuados para unir las secciones que componen el texto y relacionando las ideas dentro de cada párrafo.</w:t>
            </w:r>
          </w:p>
          <w:p>
            <w:pPr>
              <w:pStyle w:val="ListBullet"/>
              <w:spacing w:after="20"/>
              <w:ind w:left="198" w:hanging="170"/>
            </w:pPr>
            <w:r>
              <w:rPr>
                <w:b w:val="0"/>
                <w:i w:val="0"/>
                <w:sz w:val="18"/>
              </w:rPr>
              <w:t>Usando un vocabulario variado y preciso.</w:t>
            </w:r>
          </w:p>
          <w:p>
            <w:pPr>
              <w:pStyle w:val="ListBullet"/>
              <w:spacing w:after="20"/>
              <w:ind w:left="198" w:hanging="170"/>
            </w:pPr>
            <w:r>
              <w:rPr>
                <w:b w:val="0"/>
                <w:i w:val="0"/>
                <w:sz w:val="18"/>
              </w:rPr>
              <w:t>Reconociendo y corrigiendo usos inadecuados, especialmente de pronombres personales y reflejos, conjugaciones verbales, participios irregulares, y concordancia sujeto-verbo, artículo-sustantivo y sustantivo-adjetivo.</w:t>
            </w:r>
          </w:p>
          <w:p>
            <w:pPr>
              <w:pStyle w:val="ListBullet"/>
              <w:spacing w:after="20"/>
              <w:ind w:left="198" w:hanging="170"/>
            </w:pPr>
            <w:r>
              <w:rPr>
                <w:b w:val="0"/>
                <w:i w:val="0"/>
                <w:sz w:val="18"/>
              </w:rPr>
              <w:t>Corrigiendo la ortografía y mejorando la presentación.</w:t>
            </w:r>
          </w:p>
          <w:p>
            <w:pPr>
              <w:pStyle w:val="ListBullet"/>
              <w:spacing w:after="20"/>
              <w:ind w:left="198" w:hanging="170"/>
            </w:pPr>
            <w:r>
              <w:rPr>
                <w:b w:val="0"/>
                <w:i w:val="0"/>
                <w:sz w:val="18"/>
              </w:rPr>
              <w:t>Usando eficazmente las herramientas del procesador de textos.</w:t>
            </w:r>
          </w:p>
        </w:tc>
      </w:tr>
      <w:tr>
        <w:trPr>
          <w:cantSplit/>
        </w:trPr>
        <w:tc>
          <w:tcPr>
            <w:tcW w:type="dxa" w:w="1701"/>
          </w:tcPr>
          <w:p>
            <w:r>
              <w:rPr>
                <w:b/>
                <w:i w:val="0"/>
                <w:sz w:val="18"/>
              </w:rPr>
              <w:t>OA 17</w:t>
            </w:r>
          </w:p>
          <w:p>
            <w:r>
              <w:rPr>
                <w:b w:val="0"/>
                <w:i w:val="0"/>
                <w:color w:val="595959"/>
                <w:sz w:val="14"/>
              </w:rPr>
              <w:t>(B 59 · P 57)</w:t>
            </w:r>
          </w:p>
        </w:tc>
        <w:tc>
          <w:tcPr>
            <w:tcW w:type="dxa" w:w="14967"/>
          </w:tcPr>
          <w:p>
            <w:r>
              <w:rPr>
                <w:b w:val="0"/>
                <w:i w:val="0"/>
                <w:sz w:val="18"/>
              </w:rPr>
              <w:t>Usar adecuadamente oraciones complejas:</w:t>
            </w:r>
          </w:p>
          <w:p>
            <w:pPr>
              <w:pStyle w:val="ListBullet"/>
              <w:spacing w:after="20"/>
              <w:ind w:left="198" w:hanging="170"/>
            </w:pPr>
            <w:r>
              <w:rPr>
                <w:b w:val="0"/>
                <w:i w:val="0"/>
                <w:sz w:val="18"/>
              </w:rPr>
              <w:t>Manteniendo un referente claro.</w:t>
            </w:r>
          </w:p>
          <w:p>
            <w:pPr>
              <w:pStyle w:val="ListBullet"/>
              <w:spacing w:after="20"/>
              <w:ind w:left="198" w:hanging="170"/>
            </w:pPr>
            <w:r>
              <w:rPr>
                <w:b w:val="0"/>
                <w:i w:val="0"/>
                <w:sz w:val="18"/>
              </w:rPr>
              <w:t>Conservando la coherencia temporal.</w:t>
            </w:r>
          </w:p>
          <w:p>
            <w:pPr>
              <w:pStyle w:val="ListBullet"/>
              <w:spacing w:after="20"/>
              <w:ind w:left="198" w:hanging="170"/>
            </w:pPr>
            <w:r>
              <w:rPr>
                <w:b w:val="0"/>
                <w:i w:val="0"/>
                <w:sz w:val="18"/>
              </w:rPr>
              <w:t>Ubicando el sujeto, para determinar de qué o quién se habla.</w:t>
            </w:r>
          </w:p>
        </w:tc>
      </w:tr>
      <w:tr>
        <w:trPr>
          <w:cantSplit/>
        </w:trPr>
        <w:tc>
          <w:tcPr>
            <w:tcW w:type="dxa" w:w="1701"/>
          </w:tcPr>
          <w:p>
            <w:r>
              <w:rPr>
                <w:b/>
                <w:i w:val="0"/>
                <w:sz w:val="18"/>
              </w:rPr>
              <w:t>OA 18</w:t>
            </w:r>
          </w:p>
          <w:p>
            <w:r>
              <w:rPr>
                <w:b w:val="0"/>
                <w:i w:val="0"/>
                <w:color w:val="595959"/>
                <w:sz w:val="14"/>
              </w:rPr>
              <w:t>(B 59 · P 57)</w:t>
            </w:r>
          </w:p>
        </w:tc>
        <w:tc>
          <w:tcPr>
            <w:tcW w:type="dxa" w:w="14967"/>
          </w:tcPr>
          <w:p>
            <w:r>
              <w:rPr>
                <w:b w:val="0"/>
                <w:i w:val="0"/>
                <w:sz w:val="18"/>
              </w:rPr>
              <w:t>Construir textos con referencias claras:</w:t>
            </w:r>
          </w:p>
          <w:p>
            <w:pPr>
              <w:pStyle w:val="ListBullet"/>
              <w:spacing w:after="20"/>
              <w:ind w:left="198" w:hanging="170"/>
            </w:pPr>
            <w:r>
              <w:rPr>
                <w:b w:val="0"/>
                <w:i w:val="0"/>
                <w:sz w:val="18"/>
              </w:rPr>
              <w:t>Usando recursos de correferencia como deícticos —en particular, pronombres personales tónicos y átonos— y nominalización, sustitución pronominal y elipsis, entre otros.</w:t>
            </w:r>
          </w:p>
          <w:p>
            <w:pPr>
              <w:pStyle w:val="ListBullet"/>
              <w:spacing w:after="20"/>
              <w:ind w:left="198" w:hanging="170"/>
            </w:pPr>
            <w:r>
              <w:rPr>
                <w:b w:val="0"/>
                <w:i w:val="0"/>
                <w:sz w:val="18"/>
              </w:rPr>
              <w:t>Analizando si los recursos de correferencia utilizados evitan o contribuyen a la pérdida del referente, cambios de sentido o problemas de estilo.</w:t>
            </w:r>
          </w:p>
        </w:tc>
      </w:tr>
      <w:tr>
        <w:trPr>
          <w:cantSplit/>
        </w:trPr>
        <w:tc>
          <w:tcPr>
            <w:tcW w:type="dxa" w:w="1701"/>
          </w:tcPr>
          <w:p>
            <w:r>
              <w:rPr>
                <w:b/>
                <w:i w:val="0"/>
                <w:sz w:val="18"/>
              </w:rPr>
              <w:t>OA 19</w:t>
            </w:r>
          </w:p>
          <w:p>
            <w:r>
              <w:rPr>
                <w:b w:val="0"/>
                <w:i w:val="0"/>
                <w:color w:val="595959"/>
                <w:sz w:val="14"/>
              </w:rPr>
              <w:t>(B 59 · P 57)</w:t>
            </w:r>
          </w:p>
        </w:tc>
        <w:tc>
          <w:tcPr>
            <w:tcW w:type="dxa" w:w="14967"/>
          </w:tcPr>
          <w:p>
            <w:r>
              <w:rPr>
                <w:b w:val="0"/>
                <w:i w:val="0"/>
                <w:sz w:val="18"/>
              </w:rPr>
              <w:t>Conocer los modos verbales, analizar sus usos y seleccionar el más apropiado para lograr un efecto en el lector, especialmente al escribir textos con finalidad persuasiva.</w:t>
            </w:r>
          </w:p>
        </w:tc>
      </w:tr>
      <w:tr>
        <w:trPr>
          <w:cantSplit/>
        </w:trPr>
        <w:tc>
          <w:tcPr>
            <w:tcW w:type="dxa" w:w="1701"/>
          </w:tcPr>
          <w:p>
            <w:r>
              <w:rPr>
                <w:b/>
                <w:i w:val="0"/>
                <w:sz w:val="18"/>
              </w:rPr>
              <w:t>OA 20</w:t>
            </w:r>
          </w:p>
          <w:p>
            <w:r>
              <w:rPr>
                <w:b w:val="0"/>
                <w:i w:val="0"/>
                <w:color w:val="595959"/>
                <w:sz w:val="14"/>
              </w:rPr>
              <w:t>(B 59 · P 57)</w:t>
            </w:r>
          </w:p>
        </w:tc>
        <w:tc>
          <w:tcPr>
            <w:tcW w:type="dxa" w:w="14967"/>
          </w:tcPr>
          <w:p>
            <w:r>
              <w:rPr>
                <w:b w:val="0"/>
                <w:i w:val="0"/>
                <w:sz w:val="18"/>
              </w:rPr>
              <w:t>Escribir correctamente para facilitar la comprensión por parte del lector:</w:t>
            </w:r>
          </w:p>
          <w:p>
            <w:pPr>
              <w:pStyle w:val="ListBullet"/>
              <w:spacing w:after="20"/>
              <w:ind w:left="198" w:hanging="170"/>
            </w:pPr>
            <w:r>
              <w:rPr>
                <w:b w:val="0"/>
                <w:i w:val="0"/>
                <w:sz w:val="18"/>
              </w:rPr>
              <w:t>Aplicando todas las reglas de ortografía literal y acentual.</w:t>
            </w:r>
          </w:p>
          <w:p>
            <w:pPr>
              <w:pStyle w:val="ListBullet"/>
              <w:spacing w:after="20"/>
              <w:ind w:left="198" w:hanging="170"/>
            </w:pPr>
            <w:r>
              <w:rPr>
                <w:b w:val="0"/>
                <w:i w:val="0"/>
                <w:sz w:val="18"/>
              </w:rPr>
              <w:t>Verificando la escritura de las palabras cuya ortografía no está sujeta a reglas.</w:t>
            </w:r>
          </w:p>
          <w:p>
            <w:pPr>
              <w:pStyle w:val="ListBullet"/>
              <w:spacing w:after="20"/>
              <w:ind w:left="198" w:hanging="170"/>
            </w:pPr>
            <w:r>
              <w:rPr>
                <w:b w:val="0"/>
                <w:i w:val="0"/>
                <w:sz w:val="18"/>
              </w:rPr>
              <w:t>Usando correctamente punto, coma, raya y dos puntos.</w:t>
            </w:r>
          </w:p>
        </w:tc>
      </w:tr>
      <w:tr>
        <w:tc>
          <w:tcPr>
            <w:tcW w:type="dxa" w:w="16668"/>
            <w:gridSpan w:val="2"/>
          </w:tcPr>
          <w:p>
            <w:r/>
            <w:r>
              <w:rPr>
                <w:b/>
                <w:i w:val="0"/>
                <w:sz w:val="18"/>
              </w:rPr>
              <w:t>COMUNICACIÓN ORAL</w:t>
            </w:r>
          </w:p>
        </w:tc>
      </w:tr>
      <w:tr>
        <w:trPr>
          <w:cantSplit/>
        </w:trPr>
        <w:tc>
          <w:tcPr>
            <w:tcW w:type="dxa" w:w="1701"/>
          </w:tcPr>
          <w:p>
            <w:r>
              <w:rPr>
                <w:b/>
                <w:i w:val="0"/>
                <w:sz w:val="18"/>
              </w:rPr>
              <w:t>OA 21</w:t>
            </w:r>
          </w:p>
          <w:p>
            <w:r>
              <w:rPr>
                <w:b w:val="0"/>
                <w:i w:val="0"/>
                <w:color w:val="595959"/>
                <w:sz w:val="14"/>
              </w:rPr>
              <w:t>(B 59 · P 58)</w:t>
            </w:r>
          </w:p>
        </w:tc>
        <w:tc>
          <w:tcPr>
            <w:tcW w:type="dxa" w:w="14967"/>
          </w:tcPr>
          <w:p>
            <w:r>
              <w:rPr>
                <w:b w:val="0"/>
                <w:i w:val="0"/>
                <w:sz w:val="18"/>
              </w:rPr>
              <w:t>Comprender, comparar y evaluar textos orales y audiovisuales, tales como exposiciones, discursos, documentales, noticias, reportajes, etc., considerando:</w:t>
            </w:r>
          </w:p>
          <w:p>
            <w:pPr>
              <w:pStyle w:val="ListBullet"/>
              <w:spacing w:after="20"/>
              <w:ind w:left="198" w:hanging="170"/>
            </w:pPr>
            <w:r>
              <w:rPr>
                <w:b w:val="0"/>
                <w:i w:val="0"/>
                <w:sz w:val="18"/>
              </w:rPr>
              <w:t>Su postura personal frente a lo escuchado y argumentos que la sustenten.</w:t>
            </w:r>
          </w:p>
          <w:p>
            <w:pPr>
              <w:pStyle w:val="ListBullet"/>
              <w:spacing w:after="20"/>
              <w:ind w:left="198" w:hanging="170"/>
            </w:pPr>
            <w:r>
              <w:rPr>
                <w:b w:val="0"/>
                <w:i w:val="0"/>
                <w:sz w:val="18"/>
              </w:rPr>
              <w:t>Los temas, conceptos o hechos principales.</w:t>
            </w:r>
          </w:p>
          <w:p>
            <w:pPr>
              <w:pStyle w:val="ListBullet"/>
              <w:spacing w:after="20"/>
              <w:ind w:left="198" w:hanging="170"/>
            </w:pPr>
            <w:r>
              <w:rPr>
                <w:b w:val="0"/>
                <w:i w:val="0"/>
                <w:sz w:val="18"/>
              </w:rPr>
              <w:t>El contexto en el que se enmarcan los textos.</w:t>
            </w:r>
          </w:p>
          <w:p>
            <w:pPr>
              <w:pStyle w:val="ListBullet"/>
              <w:spacing w:after="20"/>
              <w:ind w:left="198" w:hanging="170"/>
            </w:pPr>
            <w:r>
              <w:rPr>
                <w:b w:val="0"/>
                <w:i w:val="0"/>
                <w:sz w:val="18"/>
              </w:rPr>
              <w:t>Prejuicios expresados en los textos.</w:t>
            </w:r>
          </w:p>
          <w:p>
            <w:pPr>
              <w:pStyle w:val="ListBullet"/>
              <w:spacing w:after="20"/>
              <w:ind w:left="198" w:hanging="170"/>
            </w:pPr>
            <w:r>
              <w:rPr>
                <w:b w:val="0"/>
                <w:i w:val="0"/>
                <w:sz w:val="18"/>
              </w:rPr>
              <w:t>Una distinción entre los hechos y las opiniones expresados.</w:t>
            </w:r>
          </w:p>
          <w:p>
            <w:pPr>
              <w:pStyle w:val="ListBullet"/>
              <w:spacing w:after="20"/>
              <w:ind w:left="198" w:hanging="170"/>
            </w:pPr>
            <w:r>
              <w:rPr>
                <w:b w:val="0"/>
                <w:i w:val="0"/>
                <w:sz w:val="18"/>
              </w:rPr>
              <w:t>Diferentes puntos de vista expresados en los textos.</w:t>
            </w:r>
          </w:p>
          <w:p>
            <w:pPr>
              <w:pStyle w:val="ListBullet"/>
              <w:spacing w:after="20"/>
              <w:ind w:left="198" w:hanging="170"/>
            </w:pPr>
            <w:r>
              <w:rPr>
                <w:b w:val="0"/>
                <w:i w:val="0"/>
                <w:sz w:val="18"/>
              </w:rPr>
              <w:t>Las relaciones que se establecen entre imágenes, texto y sonido.</w:t>
            </w:r>
          </w:p>
          <w:p>
            <w:pPr>
              <w:pStyle w:val="ListBullet"/>
              <w:spacing w:after="20"/>
              <w:ind w:left="198" w:hanging="170"/>
            </w:pPr>
            <w:r>
              <w:rPr>
                <w:b w:val="0"/>
                <w:i w:val="0"/>
                <w:sz w:val="18"/>
              </w:rPr>
              <w:t>Relaciones entre lo escuchado y los temas y obras estudiados durante el curso.</w:t>
            </w:r>
          </w:p>
        </w:tc>
      </w:tr>
      <w:tr>
        <w:trPr>
          <w:cantSplit/>
        </w:trPr>
        <w:tc>
          <w:tcPr>
            <w:tcW w:type="dxa" w:w="1701"/>
          </w:tcPr>
          <w:p>
            <w:r>
              <w:rPr>
                <w:b/>
                <w:i w:val="0"/>
                <w:sz w:val="18"/>
              </w:rPr>
              <w:t>OA 22</w:t>
            </w:r>
          </w:p>
          <w:p>
            <w:r>
              <w:rPr>
                <w:b w:val="0"/>
                <w:i w:val="0"/>
                <w:color w:val="595959"/>
                <w:sz w:val="14"/>
              </w:rPr>
              <w:t>(B 59 · P 58)</w:t>
            </w:r>
          </w:p>
        </w:tc>
        <w:tc>
          <w:tcPr>
            <w:tcW w:type="dxa" w:w="14967"/>
          </w:tcPr>
          <w:p>
            <w:r>
              <w:rPr>
                <w:b w:val="0"/>
                <w:i w:val="0"/>
                <w:sz w:val="18"/>
              </w:rPr>
              <w:t>Dialogar constructivamente para debatir o explorar ideas:</w:t>
            </w:r>
          </w:p>
          <w:p>
            <w:pPr>
              <w:pStyle w:val="ListBullet"/>
              <w:spacing w:after="20"/>
              <w:ind w:left="198" w:hanging="170"/>
            </w:pPr>
            <w:r>
              <w:rPr>
                <w:b w:val="0"/>
                <w:i w:val="0"/>
                <w:sz w:val="18"/>
              </w:rPr>
              <w:t>Manteniendo el foco.</w:t>
            </w:r>
          </w:p>
          <w:p>
            <w:pPr>
              <w:pStyle w:val="ListBullet"/>
              <w:spacing w:after="20"/>
              <w:ind w:left="198" w:hanging="170"/>
            </w:pPr>
            <w:r>
              <w:rPr>
                <w:b w:val="0"/>
                <w:i w:val="0"/>
                <w:sz w:val="18"/>
              </w:rPr>
              <w:t>Demostrando comprensión de lo dicho por el interlocutor.</w:t>
            </w:r>
          </w:p>
          <w:p>
            <w:pPr>
              <w:pStyle w:val="ListBullet"/>
              <w:spacing w:after="20"/>
              <w:ind w:left="198" w:hanging="170"/>
            </w:pPr>
            <w:r>
              <w:rPr>
                <w:b w:val="0"/>
                <w:i w:val="0"/>
                <w:sz w:val="18"/>
              </w:rPr>
              <w:t>Fundamentando su postura de manera pertinente.</w:t>
            </w:r>
          </w:p>
          <w:p>
            <w:pPr>
              <w:pStyle w:val="ListBullet"/>
              <w:spacing w:after="20"/>
              <w:ind w:left="198" w:hanging="170"/>
            </w:pPr>
            <w:r>
              <w:rPr>
                <w:b w:val="0"/>
                <w:i w:val="0"/>
                <w:sz w:val="18"/>
              </w:rPr>
              <w:t>Formulando preguntas o comentarios que estimulen o hagan avanzar la discusión o profundicen un aspecto del tema.</w:t>
            </w:r>
          </w:p>
          <w:p>
            <w:pPr>
              <w:pStyle w:val="ListBullet"/>
              <w:spacing w:after="20"/>
              <w:ind w:left="198" w:hanging="170"/>
            </w:pPr>
            <w:r>
              <w:rPr>
                <w:b w:val="0"/>
                <w:i w:val="0"/>
                <w:sz w:val="18"/>
              </w:rPr>
              <w:t>Negociando acuerdos con los interlocutores.</w:t>
            </w:r>
          </w:p>
          <w:p>
            <w:pPr>
              <w:pStyle w:val="ListBullet"/>
              <w:spacing w:after="20"/>
              <w:ind w:left="198" w:hanging="170"/>
            </w:pPr>
            <w:r>
              <w:rPr>
                <w:b w:val="0"/>
                <w:i w:val="0"/>
                <w:sz w:val="18"/>
              </w:rPr>
              <w:t>Reformulando sus comentarios para desarrollarlos mejor.</w:t>
            </w:r>
          </w:p>
          <w:p>
            <w:pPr>
              <w:pStyle w:val="ListBullet"/>
              <w:spacing w:after="20"/>
              <w:ind w:left="198" w:hanging="170"/>
            </w:pPr>
            <w:r>
              <w:rPr>
                <w:b w:val="0"/>
                <w:i w:val="0"/>
                <w:sz w:val="18"/>
              </w:rPr>
              <w:t>Considerando al interlocutor para la toma de turnos.</w:t>
            </w:r>
          </w:p>
        </w:tc>
      </w:tr>
      <w:tr>
        <w:trPr>
          <w:cantSplit/>
        </w:trPr>
        <w:tc>
          <w:tcPr>
            <w:tcW w:type="dxa" w:w="1701"/>
          </w:tcPr>
          <w:p>
            <w:r>
              <w:rPr>
                <w:b/>
                <w:i w:val="0"/>
                <w:sz w:val="18"/>
              </w:rPr>
              <w:t>OA 23</w:t>
            </w:r>
          </w:p>
          <w:p>
            <w:r>
              <w:rPr>
                <w:b w:val="0"/>
                <w:i w:val="0"/>
                <w:color w:val="595959"/>
                <w:sz w:val="14"/>
              </w:rPr>
              <w:t>(B 60 · P 58)</w:t>
            </w:r>
          </w:p>
        </w:tc>
        <w:tc>
          <w:tcPr>
            <w:tcW w:type="dxa" w:w="14967"/>
          </w:tcPr>
          <w:p>
            <w:r>
              <w:rPr>
                <w:b w:val="0"/>
                <w:i w:val="0"/>
                <w:sz w:val="18"/>
              </w:rPr>
              <w:t>Expresarse frente a una audiencia de manera clara y adecuada a la situación para comunicar temas de su interés:</w:t>
            </w:r>
          </w:p>
          <w:p>
            <w:pPr>
              <w:pStyle w:val="ListBullet"/>
              <w:spacing w:after="20"/>
              <w:ind w:left="198" w:hanging="170"/>
            </w:pPr>
            <w:r>
              <w:rPr>
                <w:b w:val="0"/>
                <w:i w:val="0"/>
                <w:sz w:val="18"/>
              </w:rPr>
              <w:t>Presentando información fidedigna y que denota una investigación previa.</w:t>
            </w:r>
          </w:p>
          <w:p>
            <w:pPr>
              <w:pStyle w:val="ListBullet"/>
              <w:spacing w:after="20"/>
              <w:ind w:left="198" w:hanging="170"/>
            </w:pPr>
            <w:r>
              <w:rPr>
                <w:b w:val="0"/>
                <w:i w:val="0"/>
                <w:sz w:val="18"/>
              </w:rPr>
              <w:t>Siguiendo una progresión temática clara.</w:t>
            </w:r>
          </w:p>
          <w:p>
            <w:pPr>
              <w:pStyle w:val="ListBullet"/>
              <w:spacing w:after="20"/>
              <w:ind w:left="198" w:hanging="170"/>
            </w:pPr>
            <w:r>
              <w:rPr>
                <w:b w:val="0"/>
                <w:i w:val="0"/>
                <w:sz w:val="18"/>
              </w:rPr>
              <w:t>Recapitulando la información más relevante o más compleja para asegurarse de que la audiencia comprenda.</w:t>
            </w:r>
          </w:p>
          <w:p>
            <w:pPr>
              <w:pStyle w:val="ListBullet"/>
              <w:spacing w:after="20"/>
              <w:ind w:left="198" w:hanging="170"/>
            </w:pPr>
            <w:r>
              <w:rPr>
                <w:b w:val="0"/>
                <w:i w:val="0"/>
                <w:sz w:val="18"/>
              </w:rPr>
              <w:t>Usando un vocabulario variado y preciso y evitando el uso de muletillas.</w:t>
            </w:r>
          </w:p>
          <w:p>
            <w:pPr>
              <w:pStyle w:val="ListBullet"/>
              <w:spacing w:after="20"/>
              <w:ind w:left="198" w:hanging="170"/>
            </w:pPr>
            <w:r>
              <w:rPr>
                <w:b w:val="0"/>
                <w:i w:val="0"/>
                <w:sz w:val="18"/>
              </w:rPr>
              <w:t>Usando conectores adecuados para hilar la presentación.</w:t>
            </w:r>
          </w:p>
          <w:p>
            <w:pPr>
              <w:pStyle w:val="ListBullet"/>
              <w:spacing w:after="20"/>
              <w:ind w:left="198" w:hanging="170"/>
            </w:pPr>
            <w:r>
              <w:rPr>
                <w:b w:val="0"/>
                <w:i w:val="0"/>
                <w:sz w:val="18"/>
              </w:rPr>
              <w:t>Usando material visual que apoye lo dicho y se relacione directamente con lo que se explica.</w:t>
            </w:r>
          </w:p>
        </w:tc>
      </w:tr>
      <w:tr>
        <w:trPr>
          <w:cantSplit/>
        </w:trPr>
        <w:tc>
          <w:tcPr>
            <w:tcW w:type="dxa" w:w="1701"/>
          </w:tcPr>
          <w:p>
            <w:r>
              <w:rPr>
                <w:b/>
                <w:i w:val="0"/>
                <w:sz w:val="18"/>
              </w:rPr>
              <w:t>OA 24</w:t>
            </w:r>
          </w:p>
          <w:p>
            <w:r>
              <w:rPr>
                <w:b w:val="0"/>
                <w:i w:val="0"/>
                <w:color w:val="595959"/>
                <w:sz w:val="14"/>
              </w:rPr>
              <w:t>(B 60 · P 58)</w:t>
            </w:r>
          </w:p>
        </w:tc>
        <w:tc>
          <w:tcPr>
            <w:tcW w:type="dxa" w:w="14967"/>
          </w:tcPr>
          <w:p>
            <w:r>
              <w:rPr>
                <w:b w:val="0"/>
                <w:i w:val="0"/>
                <w:sz w:val="18"/>
              </w:rPr>
              <w:t>Usar conscientemente los elementos que influyen y configuran los textos orales:</w:t>
            </w:r>
          </w:p>
          <w:p>
            <w:pPr>
              <w:pStyle w:val="ListBullet"/>
              <w:spacing w:after="20"/>
              <w:ind w:left="198" w:hanging="170"/>
            </w:pPr>
            <w:r>
              <w:rPr>
                <w:b w:val="0"/>
                <w:i w:val="0"/>
                <w:sz w:val="18"/>
              </w:rPr>
              <w:t>Comparando textos orales y escritos para establecer las diferencias, considerando el contexto y el destinatario.</w:t>
            </w:r>
          </w:p>
          <w:p>
            <w:pPr>
              <w:pStyle w:val="ListBullet"/>
              <w:spacing w:after="20"/>
              <w:ind w:left="198" w:hanging="170"/>
            </w:pPr>
            <w:r>
              <w:rPr>
                <w:b w:val="0"/>
                <w:i w:val="0"/>
                <w:sz w:val="18"/>
              </w:rPr>
              <w:t>Demostrando dominio de los distintos registros y empleándolos adecuadamente según la situación.</w:t>
            </w:r>
          </w:p>
          <w:p>
            <w:pPr>
              <w:pStyle w:val="ListBullet"/>
              <w:spacing w:after="20"/>
              <w:ind w:left="198" w:hanging="170"/>
            </w:pPr>
            <w:r>
              <w:rPr>
                <w:b w:val="0"/>
                <w:i w:val="0"/>
                <w:sz w:val="18"/>
              </w:rPr>
              <w:t>Utilizando estrategias que permiten cuidar la relación con el otro, especialmente al mostrar desacuerdo.</w:t>
            </w:r>
          </w:p>
          <w:p>
            <w:pPr>
              <w:pStyle w:val="ListBullet"/>
              <w:spacing w:after="20"/>
              <w:ind w:left="198" w:hanging="170"/>
            </w:pPr>
            <w:r>
              <w:rPr>
                <w:b w:val="0"/>
                <w:i w:val="0"/>
                <w:sz w:val="18"/>
              </w:rPr>
              <w:t>Utilizando un volumen, una velocidad y una dicción adecuados al propósito y a la situación.</w:t>
            </w:r>
          </w:p>
        </w:tc>
      </w:tr>
      <w:tr>
        <w:tc>
          <w:tcPr>
            <w:tcW w:type="dxa" w:w="16668"/>
            <w:gridSpan w:val="2"/>
          </w:tcPr>
          <w:p>
            <w:r/>
            <w:r>
              <w:rPr>
                <w:b/>
                <w:i w:val="0"/>
                <w:sz w:val="18"/>
              </w:rPr>
              <w:t>INVESTIGACIÓN SOBRE LENGUA Y LITERATURA</w:t>
            </w:r>
          </w:p>
        </w:tc>
      </w:tr>
      <w:tr>
        <w:trPr>
          <w:cantSplit/>
        </w:trPr>
        <w:tc>
          <w:tcPr>
            <w:tcW w:type="dxa" w:w="1701"/>
          </w:tcPr>
          <w:p>
            <w:r>
              <w:rPr>
                <w:b/>
                <w:i w:val="0"/>
                <w:sz w:val="18"/>
              </w:rPr>
              <w:t>OA 25</w:t>
            </w:r>
          </w:p>
          <w:p>
            <w:r>
              <w:rPr>
                <w:b w:val="0"/>
                <w:i w:val="0"/>
                <w:color w:val="595959"/>
                <w:sz w:val="14"/>
              </w:rPr>
              <w:t>(B 60 · P 59)</w:t>
            </w:r>
          </w:p>
        </w:tc>
        <w:tc>
          <w:tcPr>
            <w:tcW w:type="dxa" w:w="14967"/>
          </w:tcPr>
          <w:p>
            <w:r>
              <w:rPr>
                <w:b w:val="0"/>
                <w:i w:val="0"/>
                <w:sz w:val="18"/>
              </w:rPr>
              <w:t>Realizar investigaciones sobre diversos temas para complementar sus lecturas o responder interrogantes relacionadas con el lenguaje y la literatura:</w:t>
            </w:r>
          </w:p>
          <w:p>
            <w:pPr>
              <w:pStyle w:val="ListBullet"/>
              <w:spacing w:after="20"/>
              <w:ind w:left="198" w:hanging="170"/>
            </w:pPr>
            <w:r>
              <w:rPr>
                <w:b w:val="0"/>
                <w:i w:val="0"/>
                <w:sz w:val="18"/>
              </w:rPr>
              <w:t>Delimitando el tema de investigación.</w:t>
            </w:r>
          </w:p>
          <w:p>
            <w:pPr>
              <w:pStyle w:val="ListBullet"/>
              <w:spacing w:after="20"/>
              <w:ind w:left="198" w:hanging="170"/>
            </w:pPr>
            <w:r>
              <w:rPr>
                <w:b w:val="0"/>
                <w:i w:val="0"/>
                <w:sz w:val="18"/>
              </w:rPr>
              <w:t>Aplicando criterios para determinar la confiabilidad de las fuentes consultadas.</w:t>
            </w:r>
          </w:p>
          <w:p>
            <w:pPr>
              <w:pStyle w:val="ListBullet"/>
              <w:spacing w:after="20"/>
              <w:ind w:left="198" w:hanging="170"/>
            </w:pPr>
            <w:r>
              <w:rPr>
                <w:b w:val="0"/>
                <w:i w:val="0"/>
                <w:sz w:val="18"/>
              </w:rPr>
              <w:t>Usando los organizadores y la estructura textual para encontrar información de manera eficiente.</w:t>
            </w:r>
          </w:p>
          <w:p>
            <w:pPr>
              <w:pStyle w:val="ListBullet"/>
              <w:spacing w:after="20"/>
              <w:ind w:left="198" w:hanging="170"/>
            </w:pPr>
            <w:r>
              <w:rPr>
                <w:b w:val="0"/>
                <w:i w:val="0"/>
                <w:sz w:val="18"/>
              </w:rPr>
              <w:t>Evaluando si los textos entregan suficiente información para responder una determinada pregunta o cumplir un propósito.</w:t>
            </w:r>
          </w:p>
          <w:p>
            <w:pPr>
              <w:pStyle w:val="ListBullet"/>
              <w:spacing w:after="20"/>
              <w:ind w:left="198" w:hanging="170"/>
            </w:pPr>
            <w:r>
              <w:rPr>
                <w:b w:val="0"/>
                <w:i w:val="0"/>
                <w:sz w:val="18"/>
              </w:rPr>
              <w:t>Descartando fuentes que no aportan a la investigación porque se alejan del tema.</w:t>
            </w:r>
          </w:p>
          <w:p>
            <w:pPr>
              <w:pStyle w:val="ListBullet"/>
              <w:spacing w:after="20"/>
              <w:ind w:left="198" w:hanging="170"/>
            </w:pPr>
            <w:r>
              <w:rPr>
                <w:b w:val="0"/>
                <w:i w:val="0"/>
                <w:sz w:val="18"/>
              </w:rPr>
              <w:t>Organizando en categorías la información encontrada en las fuentes investigadas.</w:t>
            </w:r>
          </w:p>
          <w:p>
            <w:pPr>
              <w:pStyle w:val="ListBullet"/>
              <w:spacing w:after="20"/>
              <w:ind w:left="198" w:hanging="170"/>
            </w:pPr>
            <w:r>
              <w:rPr>
                <w:b w:val="0"/>
                <w:i w:val="0"/>
                <w:sz w:val="18"/>
              </w:rPr>
              <w:t>Registrando la información bibliográfica de las fuentes consultadas.</w:t>
            </w:r>
          </w:p>
          <w:p>
            <w:pPr>
              <w:pStyle w:val="ListBullet"/>
              <w:spacing w:after="20"/>
              <w:ind w:left="198" w:hanging="170"/>
            </w:pPr>
            <w:r>
              <w:rPr>
                <w:b w:val="0"/>
                <w:i w:val="0"/>
                <w:sz w:val="18"/>
              </w:rPr>
              <w:t>Elaborando un texto oral o escrito bien estructurado que comunique sus hallazgos.</w:t>
            </w:r>
          </w:p>
        </w:tc>
      </w:tr>
      <w:tr>
        <w:trPr>
          <w:cantSplit/>
        </w:trPr>
        <w:tc>
          <w:tcPr>
            <w:tcW w:type="dxa" w:w="1701"/>
          </w:tcPr>
          <w:p>
            <w:r>
              <w:rPr>
                <w:b/>
                <w:i w:val="0"/>
                <w:sz w:val="18"/>
              </w:rPr>
              <w:t>OA 26</w:t>
            </w:r>
          </w:p>
          <w:p>
            <w:r>
              <w:rPr>
                <w:b w:val="0"/>
                <w:i w:val="0"/>
                <w:color w:val="595959"/>
                <w:sz w:val="14"/>
              </w:rPr>
              <w:t>(B 60 · P 59)</w:t>
            </w:r>
          </w:p>
        </w:tc>
        <w:tc>
          <w:tcPr>
            <w:tcW w:type="dxa" w:w="14967"/>
          </w:tcPr>
          <w:p>
            <w:r>
              <w:rPr>
                <w:b w:val="0"/>
                <w:i w:val="0"/>
                <w:sz w:val="18"/>
              </w:rPr>
              <w:t>Sintetizar, registrar y ordenar las ideas principales de textos escuchados o leídos para satisfacer propósitos como estudiar, hacer una investigación, recordar detalles, etc.</w:t>
            </w:r>
          </w:p>
        </w:tc>
      </w:tr>
      <w:tr>
        <w:tc>
          <w:tcPr>
            <w:tcW w:type="dxa" w:w="16668"/>
            <w:gridSpan w:val="2"/>
          </w:tcPr>
          <w:p>
            <w:r/>
            <w:r>
              <w:rPr>
                <w:b/>
                <w:i w:val="0"/>
                <w:sz w:val="18"/>
              </w:rPr>
              <w:t>ACTITUDES</w:t>
            </w:r>
          </w:p>
        </w:tc>
      </w:tr>
      <w:tr>
        <w:trPr>
          <w:cantSplit/>
        </w:trPr>
        <w:tc>
          <w:tcPr>
            <w:tcW w:type="dxa" w:w="1701"/>
          </w:tcPr>
          <w:p>
            <w:r>
              <w:rPr>
                <w:b/>
                <w:i w:val="0"/>
                <w:sz w:val="18"/>
              </w:rPr>
              <w:t>OA A</w:t>
            </w:r>
          </w:p>
          <w:p>
            <w:r>
              <w:rPr>
                <w:b w:val="0"/>
                <w:i w:val="0"/>
                <w:color w:val="595959"/>
                <w:sz w:val="14"/>
              </w:rPr>
              <w:t>(P 60)</w:t>
            </w:r>
          </w:p>
        </w:tc>
        <w:tc>
          <w:tcPr>
            <w:tcW w:type="dxa" w:w="14967"/>
          </w:tcPr>
          <w:p>
            <w:r>
              <w:rPr>
                <w:b w:val="0"/>
                <w:i w:val="0"/>
                <w:sz w:val="18"/>
              </w:rPr>
              <w:t>Manifestar disposición a formarse un pensamiento propio, reflexivo e informado, mediante una lectura crítica y el diálogo con otros.</w:t>
            </w:r>
          </w:p>
        </w:tc>
      </w:tr>
      <w:tr>
        <w:trPr>
          <w:cantSplit/>
        </w:trPr>
        <w:tc>
          <w:tcPr>
            <w:tcW w:type="dxa" w:w="1701"/>
          </w:tcPr>
          <w:p>
            <w:r>
              <w:rPr>
                <w:b/>
                <w:i w:val="0"/>
                <w:sz w:val="18"/>
              </w:rPr>
              <w:t>OA B</w:t>
            </w:r>
          </w:p>
          <w:p>
            <w:r>
              <w:rPr>
                <w:b w:val="0"/>
                <w:i w:val="0"/>
                <w:color w:val="595959"/>
                <w:sz w:val="14"/>
              </w:rPr>
              <w:t>(P 60)</w:t>
            </w:r>
          </w:p>
        </w:tc>
        <w:tc>
          <w:tcPr>
            <w:tcW w:type="dxa" w:w="14967"/>
          </w:tcPr>
          <w:p>
            <w:r>
              <w:rPr>
                <w:b w:val="0"/>
                <w:i w:val="0"/>
                <w:sz w:val="18"/>
              </w:rPr>
              <w:t>Manifestar una disposición a reflexionar sobre sí mismo y sobre las cuestiones sociales y éticas que emanan de las lecturas.</w:t>
            </w:r>
          </w:p>
        </w:tc>
      </w:tr>
      <w:tr>
        <w:trPr>
          <w:cantSplit/>
        </w:trPr>
        <w:tc>
          <w:tcPr>
            <w:tcW w:type="dxa" w:w="1701"/>
          </w:tcPr>
          <w:p>
            <w:r>
              <w:rPr>
                <w:b/>
                <w:i w:val="0"/>
                <w:sz w:val="18"/>
              </w:rPr>
              <w:t>OA C</w:t>
            </w:r>
          </w:p>
          <w:p>
            <w:r>
              <w:rPr>
                <w:b w:val="0"/>
                <w:i w:val="0"/>
                <w:color w:val="595959"/>
                <w:sz w:val="14"/>
              </w:rPr>
              <w:t>(P 61)</w:t>
            </w:r>
          </w:p>
        </w:tc>
        <w:tc>
          <w:tcPr>
            <w:tcW w:type="dxa" w:w="14967"/>
          </w:tcPr>
          <w:p>
            <w:r>
              <w:rPr>
                <w:b w:val="0"/>
                <w:i w:val="0"/>
                <w:sz w:val="18"/>
              </w:rPr>
              <w:t>Interesarse por comprender las experiencias e ideas de los demás, utilizando la lectura y el diálogo para el enriquecimiento personal y para la construcción de buenas relaciones con los demás.</w:t>
            </w:r>
          </w:p>
        </w:tc>
      </w:tr>
      <w:tr>
        <w:trPr>
          <w:cantSplit/>
        </w:trPr>
        <w:tc>
          <w:tcPr>
            <w:tcW w:type="dxa" w:w="1701"/>
          </w:tcPr>
          <w:p>
            <w:r>
              <w:rPr>
                <w:b/>
                <w:i w:val="0"/>
                <w:sz w:val="18"/>
              </w:rPr>
              <w:t>OA D</w:t>
            </w:r>
          </w:p>
          <w:p>
            <w:r>
              <w:rPr>
                <w:b w:val="0"/>
                <w:i w:val="0"/>
                <w:color w:val="595959"/>
                <w:sz w:val="14"/>
              </w:rPr>
              <w:t>(P 61)</w:t>
            </w:r>
          </w:p>
        </w:tc>
        <w:tc>
          <w:tcPr>
            <w:tcW w:type="dxa" w:w="14967"/>
          </w:tcPr>
          <w:p>
            <w:r>
              <w:rPr>
                <w:b w:val="0"/>
                <w:i w:val="0"/>
                <w:sz w:val="18"/>
              </w:rPr>
              <w:t>Valorar la diversidad de perspectivas, creencias y culturas, presentes en su entorno y el mundo, como manifestación de la libertad, creatividad y dignidad humana.</w:t>
            </w:r>
          </w:p>
        </w:tc>
      </w:tr>
      <w:tr>
        <w:trPr>
          <w:cantSplit/>
        </w:trPr>
        <w:tc>
          <w:tcPr>
            <w:tcW w:type="dxa" w:w="1701"/>
          </w:tcPr>
          <w:p>
            <w:r>
              <w:rPr>
                <w:b/>
                <w:i w:val="0"/>
                <w:sz w:val="18"/>
              </w:rPr>
              <w:t>OA E</w:t>
            </w:r>
          </w:p>
          <w:p>
            <w:r>
              <w:rPr>
                <w:b w:val="0"/>
                <w:i w:val="0"/>
                <w:color w:val="595959"/>
                <w:sz w:val="14"/>
              </w:rPr>
              <w:t>(P 61)</w:t>
            </w:r>
          </w:p>
        </w:tc>
        <w:tc>
          <w:tcPr>
            <w:tcW w:type="dxa" w:w="14967"/>
          </w:tcPr>
          <w:p>
            <w:r>
              <w:rPr>
                <w:b w:val="0"/>
                <w:i w:val="0"/>
                <w:sz w:val="18"/>
              </w:rPr>
              <w:t>Valorar las posibilidades que da el discurso hablado y escrito para participar de manera proactiva, informada y responsable en la vida de la sociedad democrática.</w:t>
            </w:r>
          </w:p>
        </w:tc>
      </w:tr>
      <w:tr>
        <w:trPr>
          <w:cantSplit/>
        </w:trPr>
        <w:tc>
          <w:tcPr>
            <w:tcW w:type="dxa" w:w="1701"/>
          </w:tcPr>
          <w:p>
            <w:r>
              <w:rPr>
                <w:b/>
                <w:i w:val="0"/>
                <w:sz w:val="18"/>
              </w:rPr>
              <w:t>OA F</w:t>
            </w:r>
          </w:p>
          <w:p>
            <w:r>
              <w:rPr>
                <w:b w:val="0"/>
                <w:i w:val="0"/>
                <w:color w:val="595959"/>
                <w:sz w:val="14"/>
              </w:rPr>
              <w:t>(P 62)</w:t>
            </w:r>
          </w:p>
        </w:tc>
        <w:tc>
          <w:tcPr>
            <w:tcW w:type="dxa" w:w="14967"/>
          </w:tcPr>
          <w:p>
            <w:r>
              <w:rPr>
                <w:b w:val="0"/>
                <w:i w:val="0"/>
                <w:sz w:val="18"/>
              </w:rPr>
              <w:t>Valorar la evidencia y la búsqueda de conocimientos que apoyen sus aseveraciones.</w:t>
            </w:r>
          </w:p>
        </w:tc>
      </w:tr>
      <w:tr>
        <w:trPr>
          <w:cantSplit/>
        </w:trPr>
        <w:tc>
          <w:tcPr>
            <w:tcW w:type="dxa" w:w="1701"/>
          </w:tcPr>
          <w:p>
            <w:r>
              <w:rPr>
                <w:b/>
                <w:i w:val="0"/>
                <w:sz w:val="18"/>
              </w:rPr>
              <w:t>OA G</w:t>
            </w:r>
          </w:p>
          <w:p>
            <w:r>
              <w:rPr>
                <w:b w:val="0"/>
                <w:i w:val="0"/>
                <w:color w:val="595959"/>
                <w:sz w:val="14"/>
              </w:rPr>
              <w:t>(P 62)</w:t>
            </w:r>
          </w:p>
        </w:tc>
        <w:tc>
          <w:tcPr>
            <w:tcW w:type="dxa" w:w="14967"/>
          </w:tcPr>
          <w:p>
            <w:r>
              <w:rPr>
                <w:b w:val="0"/>
                <w:i w:val="0"/>
                <w:sz w:val="18"/>
              </w:rPr>
              <w:t>Realizar tareas y trabajos de forma rigurosa y perseverante, entendiendo que los logros se obtienen solo después de un trabajo prolongado.</w:t>
            </w:r>
          </w:p>
        </w:tc>
      </w:tr>
      <w:tr>
        <w:trPr>
          <w:cantSplit/>
        </w:trPr>
        <w:tc>
          <w:tcPr>
            <w:tcW w:type="dxa" w:w="1701"/>
          </w:tcPr>
          <w:p>
            <w:r>
              <w:rPr>
                <w:b/>
                <w:i w:val="0"/>
                <w:sz w:val="18"/>
              </w:rPr>
              <w:t>OA H</w:t>
            </w:r>
          </w:p>
          <w:p>
            <w:r>
              <w:rPr>
                <w:b w:val="0"/>
                <w:i w:val="0"/>
                <w:color w:val="595959"/>
                <w:sz w:val="14"/>
              </w:rPr>
              <w:t>(P 62)</w:t>
            </w:r>
          </w:p>
        </w:tc>
        <w:tc>
          <w:tcPr>
            <w:tcW w:type="dxa" w:w="14967"/>
          </w:tcPr>
          <w:p>
            <w:r>
              <w:rPr>
                <w:b w:val="0"/>
                <w:i w:val="0"/>
                <w:sz w:val="18"/>
              </w:rPr>
              <w:t>Trabajar colaborativamente, usando de manera responsable las tecnologías de la comunicación, dando crédito al trabajo de otros y respetando la propiedad y la privacidad de las personas.</w:t>
            </w:r>
          </w:p>
        </w:tc>
      </w:tr>
    </w:tbl>
    <w:p>
      <w:pPr>
        <w:pStyle w:val="Heading1"/>
      </w:pPr>
      <w:r>
        <w:t>H. Firmas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5556"/>
        <w:gridCol w:w="5556"/>
        <w:gridCol w:w="5556"/>
      </w:tblGrid>
      <w:tr>
        <w:trPr>
          <w:cantSplit/>
        </w:trPr>
        <w:tc>
          <w:tcPr>
            <w:tcW w:type="dxa" w:w="5556"/>
          </w:tcPr>
          <w:p/>
          <w:p/>
          <w:p/>
          <w:p/>
          <w:p>
            <w:pPr>
              <w:keepNext/>
              <w:spacing w:after="0"/>
              <w:jc w:val="center"/>
            </w:pPr>
            <w:r>
              <w:rPr>
                <w:b w:val="0"/>
                <w:i w:val="0"/>
                <w:color w:val="595959"/>
                <w:sz w:val="18"/>
              </w:rPr>
              <w:t>__________________________________</w:t>
            </w:r>
          </w:p>
          <w:p>
            <w:pPr>
              <w:jc w:val="center"/>
            </w:pPr>
            <w:r>
              <w:rPr>
                <w:b/>
                <w:i w:val="0"/>
                <w:sz w:val="18"/>
              </w:rPr>
              <w:t>Docente</w:t>
            </w:r>
          </w:p>
        </w:tc>
        <w:tc>
          <w:tcPr>
            <w:tcW w:type="dxa" w:w="5556"/>
          </w:tcPr>
          <w:p/>
          <w:p/>
          <w:p/>
          <w:p/>
          <w:p>
            <w:pPr>
              <w:keepNext/>
              <w:spacing w:after="0"/>
              <w:jc w:val="center"/>
            </w:pPr>
            <w:r>
              <w:rPr>
                <w:b w:val="0"/>
                <w:i w:val="0"/>
                <w:color w:val="595959"/>
                <w:sz w:val="18"/>
              </w:rPr>
              <w:t>__________________________________</w:t>
            </w:r>
          </w:p>
          <w:p>
            <w:pPr>
              <w:jc w:val="center"/>
            </w:pPr>
            <w:r>
              <w:rPr>
                <w:b/>
                <w:i w:val="0"/>
                <w:sz w:val="18"/>
              </w:rPr>
              <w:t>Jefe/a de UTP</w:t>
            </w:r>
          </w:p>
        </w:tc>
        <w:tc>
          <w:tcPr>
            <w:tcW w:type="dxa" w:w="5556"/>
          </w:tcPr>
          <w:p/>
          <w:p/>
          <w:p/>
          <w:p/>
          <w:p>
            <w:pPr>
              <w:keepNext/>
              <w:spacing w:after="0"/>
              <w:jc w:val="center"/>
            </w:pPr>
            <w:r>
              <w:rPr>
                <w:b w:val="0"/>
                <w:i w:val="0"/>
                <w:color w:val="595959"/>
                <w:sz w:val="18"/>
              </w:rPr>
              <w:t>__________________________________</w:t>
            </w:r>
          </w:p>
          <w:p>
            <w:pPr>
              <w:jc w:val="center"/>
            </w:pPr>
            <w:r>
              <w:rPr>
                <w:b/>
                <w:i w:val="0"/>
                <w:sz w:val="18"/>
              </w:rPr>
              <w:t>Fecha</w:t>
            </w:r>
          </w:p>
        </w:tc>
      </w:tr>
    </w:tbl>
    <w:sectPr w:rsidR="00FC693F" w:rsidRPr="0006063C" w:rsidSect="00034616">
      <w:headerReference w:type="default" r:id="rId9"/>
      <w:footerReference w:type="default" r:id="rId10"/>
      <w:pgSz w:w="18709" w:h="12246" w:orient="landscape"/>
      <w:pgMar w:top="1020" w:right="1020" w:bottom="1020" w:left="1020"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i w:val="0"/>
        <w:color w:val="595959"/>
        <w:sz w:val="16"/>
      </w:rPr>
      <w:t xml:space="preserve">Basado en Programa de Estudio Lengua y Literatura 8° básico, Mineduc (Decreto Exento N° 628/2016) y Bases Curriculares DS 614/2013 y DS 369/2015  ·  Página </w:t>
    </w:r>
    <w:r>
      <w:rPr>
        <w:sz w:val="16"/>
      </w:rPr>
      <w:fldChar w:fldCharType="begin"/>
      <w:instrText xml:space="preserve"> PAGE </w:instrText>
      <w:fldChar w:fldCharType="separate"/>
      <w:t>1</w:t>
      <w:fldChar w:fldCharType="end"/>
    </w:r>
    <w:r>
      <w:rPr>
        <w:b w:val="0"/>
        <w:i w:val="0"/>
        <w:color w:val="595959"/>
        <w:sz w:val="16"/>
      </w:rPr>
      <w:t xml:space="preserve"> de </w:t>
    </w:r>
    <w:r>
      <w:rPr>
        <w:sz w:val="16"/>
      </w:rPr>
      <w:fldChar w:fldCharType="begin"/>
      <w:instrText xml:space="preserve"> NUMPAGES </w:instrText>
      <w:fldChar w:fldCharType="separate"/>
      <w:t>1</w:t>
      <w:fldChar w:fldCharType="end"/>
    </w:r>
  </w:p>
  <w:p>
    <w:pPr>
      <w:jc w:val="center"/>
    </w:pPr>
    <w:r>
      <w:rPr>
        <w:b w:val="0"/>
        <w:i w:val="0"/>
        <w:color w:val="595959"/>
        <w:sz w:val="15"/>
      </w:rPr>
      <w:t>Material gratuito descargado de EltioIA.cl · Documento de apoyo basado en el currículum nacional; no es una publicación oficial del Mineduc.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40" w:lineRule="exact"/>
    </w:pPr>
  </w:p>
  <w:tbl>
    <w:tblPr>
      <w:tblW w:type="auto" w:w="0"/>
      <w:tblLayout w:type="fixed"/>
      <w:tblLook w:firstColumn="1" w:firstRow="1" w:lastColumn="0" w:lastRow="0" w:noHBand="0" w:noVBand="1" w:val="04A0"/>
    </w:tblPr>
    <w:tblGrid>
      <w:gridCol w:w="1134"/>
      <w:gridCol w:w="15534"/>
    </w:tblGrid>
    <w:tr>
      <w:tc>
        <w:tcPr>
          <w:tcW w:type="dxa" w:w="1134"/>
        </w:tcPr>
        <w:p>
          <w:r>
            <w:rPr>
              <w:b w:val="0"/>
              <w:i w:val="0"/>
              <w:color w:val="8C8C8C"/>
              <w:sz w:val="16"/>
            </w:rPr>
            <w:t>[Logo]</w:t>
          </w:r>
        </w:p>
      </w:tc>
      <w:tc>
        <w:tcPr>
          <w:tcW w:type="dxa" w:w="15534"/>
        </w:tcPr>
        <w:p>
          <w:pPr>
            <w:jc w:val="right"/>
          </w:pPr>
          <w:r>
            <w:rPr>
              <w:b/>
              <w:i w:val="0"/>
              <w:sz w:val="20"/>
            </w:rPr>
            <w:t>[Completar]</w:t>
          </w:r>
        </w:p>
        <w:p>
          <w:pPr>
            <w:jc w:val="right"/>
          </w:pPr>
          <w:r>
            <w:rPr>
              <w:b w:val="0"/>
              <w:i w:val="0"/>
              <w:color w:val="595959"/>
              <w:sz w:val="18"/>
            </w:rPr>
            <w:t>Planificación Anual 2027 · Lengua y Literatura · 8° básico</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before="0"/>
    </w:pPr>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Calibri" w:hAnsi="Calibr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0"/>
      <w:contextualSpacing/>
    </w:pPr>
    <w:rPr>
      <w:rFonts w:ascii="Calibri" w:hAnsi="Calibri"/>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Planificación Anual 2027 — Lengua y Literatura · 8° básico</dc:title>
  <dc:subject/>
  <dc:creator/>
  <cp:keywords/>
  <dc:description>Generado el 2026-10-23 desde programa_lengua_8basico.pdf (sha256 ff631571867e) con plantilla_anual.md v1.0.</dc:description>
  <cp:lastModifiedBy/>
  <cp:revision>1</cp:revision>
  <dcterms:created xsi:type="dcterms:W3CDTF">2013-12-23T23:15:00Z</dcterms:created>
  <dcterms:modified xsi:type="dcterms:W3CDTF">2013-12-23T23:15:00Z</dcterms:modified>
  <cp:category/>
</cp:coreProperties>
</file>