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Orientación · 2° medio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Orientación</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2° medio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1 h pedagógicas semanales · 38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1264/2016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2° medio, los estudiantes profundizan en su proyecto de vida, la sexualidad y el autocuidado, las relaciones basadas en el respeto, la participación en su comunidad y la gestión de su aprendizaje de cara a la elección de su trayectoria.</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Crecimiento personal</w:t>
            </w:r>
          </w:p>
        </w:tc>
        <w:tc>
          <w:tcPr>
            <w:tcW w:type="dxa" w:w="5329"/>
          </w:tcPr>
          <w:p>
            <w:pPr>
              <w:keepNext/>
            </w:pPr>
            <w:r>
              <w:rPr>
                <w:b w:val="0"/>
                <w:i w:val="0"/>
                <w:sz w:val="18"/>
              </w:rPr>
              <w:t>Semanas 1 a 10</w:t>
            </w:r>
          </w:p>
        </w:tc>
        <w:tc>
          <w:tcPr>
            <w:tcW w:type="dxa" w:w="2268"/>
          </w:tcPr>
          <w:p>
            <w:pPr>
              <w:keepNext/>
            </w:pPr>
            <w:r>
              <w:rPr>
                <w:b w:val="0"/>
                <w:i w:val="0"/>
                <w:sz w:val="18"/>
              </w:rPr>
              <w:t>≈ 7</w:t>
            </w:r>
          </w:p>
        </w:tc>
        <w:tc>
          <w:tcPr>
            <w:tcW w:type="dxa" w:w="2268"/>
          </w:tcPr>
          <w:p>
            <w:pPr>
              <w:keepNext/>
            </w:pPr>
            <w:r>
              <w:rPr>
                <w:b w:val="0"/>
                <w:i w:val="0"/>
                <w:sz w:val="18"/>
              </w:rPr>
              <w:t>7</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Bienestar y autocuidado</w:t>
            </w:r>
          </w:p>
        </w:tc>
        <w:tc>
          <w:tcPr>
            <w:tcW w:type="dxa" w:w="5329"/>
          </w:tcPr>
          <w:p>
            <w:pPr>
              <w:keepNext/>
            </w:pPr>
            <w:r>
              <w:rPr>
                <w:b w:val="0"/>
                <w:i w:val="0"/>
                <w:sz w:val="18"/>
              </w:rPr>
              <w:t>Semanas 11 a 19</w:t>
            </w:r>
          </w:p>
        </w:tc>
        <w:tc>
          <w:tcPr>
            <w:tcW w:type="dxa" w:w="2268"/>
          </w:tcPr>
          <w:p>
            <w:pPr>
              <w:keepNext/>
            </w:pPr>
            <w:r>
              <w:rPr>
                <w:b w:val="0"/>
                <w:i w:val="0"/>
                <w:sz w:val="18"/>
              </w:rPr>
              <w:t>≈ 7</w:t>
            </w:r>
          </w:p>
        </w:tc>
        <w:tc>
          <w:tcPr>
            <w:tcW w:type="dxa" w:w="2268"/>
          </w:tcPr>
          <w:p>
            <w:pPr>
              <w:keepNext/>
            </w:pPr>
            <w:r>
              <w:rPr>
                <w:b w:val="0"/>
                <w:i w:val="0"/>
                <w:sz w:val="18"/>
              </w:rPr>
              <w:t>7</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Relaciones interpersonales</w:t>
            </w:r>
          </w:p>
        </w:tc>
        <w:tc>
          <w:tcPr>
            <w:tcW w:type="dxa" w:w="5329"/>
          </w:tcPr>
          <w:p>
            <w:pPr>
              <w:keepNext/>
            </w:pPr>
            <w:r>
              <w:rPr>
                <w:b w:val="0"/>
                <w:i w:val="0"/>
                <w:sz w:val="18"/>
              </w:rPr>
              <w:t>Semanas 20 a 26</w:t>
            </w:r>
          </w:p>
        </w:tc>
        <w:tc>
          <w:tcPr>
            <w:tcW w:type="dxa" w:w="2268"/>
          </w:tcPr>
          <w:p>
            <w:pPr>
              <w:keepNext/>
            </w:pPr>
            <w:r>
              <w:rPr>
                <w:b w:val="0"/>
                <w:i w:val="0"/>
                <w:sz w:val="18"/>
              </w:rPr>
              <w:t>≈ 7</w:t>
            </w:r>
          </w:p>
        </w:tc>
        <w:tc>
          <w:tcPr>
            <w:tcW w:type="dxa" w:w="2268"/>
          </w:tcPr>
          <w:p>
            <w:pPr>
              <w:keepNext/>
            </w:pPr>
            <w:r>
              <w:rPr>
                <w:b w:val="0"/>
                <w:i w:val="0"/>
                <w:sz w:val="18"/>
              </w:rPr>
              <w:t>7</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Pertenencia y participación democrática</w:t>
            </w:r>
          </w:p>
        </w:tc>
        <w:tc>
          <w:tcPr>
            <w:tcW w:type="dxa" w:w="5329"/>
          </w:tcPr>
          <w:p>
            <w:pPr>
              <w:keepNext/>
            </w:pPr>
            <w:r>
              <w:rPr>
                <w:b w:val="0"/>
                <w:i w:val="0"/>
                <w:sz w:val="18"/>
              </w:rPr>
              <w:t>Semanas 27 a 33</w:t>
            </w:r>
          </w:p>
        </w:tc>
        <w:tc>
          <w:tcPr>
            <w:tcW w:type="dxa" w:w="2268"/>
          </w:tcPr>
          <w:p>
            <w:pPr>
              <w:keepNext/>
            </w:pPr>
            <w:r>
              <w:rPr>
                <w:b w:val="0"/>
                <w:i w:val="0"/>
                <w:sz w:val="18"/>
              </w:rPr>
              <w:t>≈ 7</w:t>
            </w:r>
          </w:p>
        </w:tc>
        <w:tc>
          <w:tcPr>
            <w:tcW w:type="dxa" w:w="2268"/>
          </w:tcPr>
          <w:p>
            <w:pPr>
              <w:keepNext/>
            </w:pPr>
            <w:r>
              <w:rPr>
                <w:b w:val="0"/>
                <w:i w:val="0"/>
                <w:sz w:val="18"/>
              </w:rPr>
              <w:t>7</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5: Gestión y proyección del aprendizaje</w:t>
            </w:r>
          </w:p>
        </w:tc>
        <w:tc>
          <w:tcPr>
            <w:tcW w:type="dxa" w:w="5329"/>
          </w:tcPr>
          <w:p>
            <w:pPr>
              <w:keepNext/>
            </w:pPr>
            <w:r>
              <w:rPr>
                <w:b w:val="0"/>
                <w:i w:val="0"/>
                <w:sz w:val="18"/>
              </w:rPr>
              <w:t>Semanas 34 a 38</w:t>
            </w:r>
          </w:p>
        </w:tc>
        <w:tc>
          <w:tcPr>
            <w:tcW w:type="dxa" w:w="2268"/>
          </w:tcPr>
          <w:p>
            <w:pPr>
              <w:keepNext/>
            </w:pPr>
            <w:r>
              <w:rPr>
                <w:b w:val="0"/>
                <w:i w:val="0"/>
                <w:sz w:val="18"/>
              </w:rPr>
              <w:t>≈ 6</w:t>
            </w:r>
          </w:p>
        </w:tc>
        <w:tc>
          <w:tcPr>
            <w:tcW w:type="dxa" w:w="2268"/>
          </w:tcPr>
          <w:p>
            <w:pPr>
              <w:keepNext/>
            </w:pPr>
            <w:r>
              <w:rPr>
                <w:b w:val="0"/>
                <w:i w:val="0"/>
                <w:sz w:val="18"/>
              </w:rPr>
              <w:t>6</w:t>
            </w:r>
          </w:p>
        </w:tc>
      </w:tr>
      <w:tr>
        <w:trPr>
          <w:cantSplit/>
        </w:trPr>
        <w:tc>
          <w:tcPr>
            <w:tcW w:type="dxa" w:w="14400"/>
            <w:gridSpan w:val="4"/>
          </w:tcPr>
          <w:p>
            <w:pPr>
              <w:keepNext/>
            </w:pPr>
            <w:r/>
            <w:r>
              <w:rPr>
                <w:b w:val="0"/>
                <w:i w:val="0"/>
                <w:sz w:val="18"/>
              </w:rPr>
              <w:t>Horas sin asignar en el Programa (diagnóstico, evaluaciones, imprevistos)</w:t>
            </w:r>
          </w:p>
        </w:tc>
        <w:tc>
          <w:tcPr>
            <w:tcW w:type="dxa" w:w="2268"/>
          </w:tcPr>
          <w:p>
            <w:pPr>
              <w:keepNext/>
            </w:pPr>
            <w:r>
              <w:rPr>
                <w:b w:val="0"/>
                <w:i w:val="0"/>
                <w:sz w:val="18"/>
              </w:rPr>
              <w:t>4</w:t>
            </w:r>
          </w:p>
        </w:tc>
      </w:tr>
      <w:tr>
        <w:tc>
          <w:tcPr>
            <w:tcW w:type="dxa" w:w="14400"/>
            <w:gridSpan w:val="4"/>
          </w:tcPr>
          <w:p>
            <w:r/>
            <w:r>
              <w:rPr>
                <w:b/>
                <w:i w:val="0"/>
                <w:sz w:val="18"/>
              </w:rPr>
              <w:t>Total anual</w:t>
            </w:r>
          </w:p>
        </w:tc>
        <w:tc>
          <w:tcPr>
            <w:tcW w:type="dxa" w:w="2268"/>
          </w:tcPr>
          <w:p>
            <w:r>
              <w:rPr>
                <w:b/>
                <w:i w:val="0"/>
                <w:sz w:val="18"/>
              </w:rPr>
              <w:t>38</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54).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7087"/>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Conocimientos y vocabulario</w:t>
            </w:r>
          </w:p>
        </w:tc>
        <w:tc>
          <w:tcPr>
            <w:tcW w:type="dxa" w:w="7087"/>
          </w:tcPr>
          <w:p>
            <w:r/>
            <w:r>
              <w:rPr>
                <w:b/>
                <w:i w:val="0"/>
                <w:sz w:val="16"/>
              </w:rPr>
              <w:t>Indicadores de evaluación</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Crecimiento personal</w:t>
            </w:r>
          </w:p>
          <w:p>
            <w:r>
              <w:rPr>
                <w:b w:val="0"/>
                <w:i w:val="0"/>
                <w:sz w:val="15"/>
              </w:rPr>
              <w:t>En esta unidad se promueve que las y los estudiantes construyan una visión positiva y a la vez integrada de sí mismos, considerando los diversos ámbitos de sus vidas.</w:t>
            </w:r>
          </w:p>
          <w:p>
            <w:r>
              <w:rPr>
                <w:b w:val="0"/>
                <w:i w:val="0"/>
                <w:color w:val="595959"/>
                <w:sz w:val="14"/>
              </w:rPr>
              <w:t>Programa, págs. 58–79</w:t>
            </w:r>
          </w:p>
        </w:tc>
        <w:tc>
          <w:tcPr>
            <w:tcW w:type="dxa" w:w="1134"/>
          </w:tcPr>
          <w:p>
            <w:r/>
            <w:r>
              <w:rPr>
                <w:b/>
                <w:i w:val="0"/>
                <w:sz w:val="15"/>
              </w:rPr>
              <w:t>Semestre 1</w:t>
            </w:r>
          </w:p>
          <w:p>
            <w:r>
              <w:rPr>
                <w:b w:val="0"/>
                <w:i w:val="0"/>
                <w:sz w:val="15"/>
              </w:rPr>
              <w:t>7 h pedagógicas</w:t>
            </w:r>
          </w:p>
          <w:p>
            <w:r>
              <w:rPr>
                <w:b w:val="0"/>
                <w:i w:val="0"/>
                <w:color w:val="595959"/>
                <w:sz w:val="15"/>
              </w:rPr>
              <w:t>Semanas 1 a 10</w:t>
            </w:r>
          </w:p>
        </w:tc>
        <w:tc>
          <w:tcPr>
            <w:tcW w:type="dxa" w:w="1134"/>
          </w:tcPr>
          <w:p>
            <w:r/>
            <w:r>
              <w:rPr>
                <w:b/>
                <w:i w:val="0"/>
                <w:sz w:val="15"/>
              </w:rPr>
              <w:t>OA 1, OA 2</w:t>
            </w:r>
          </w:p>
          <w:p>
            <w:r>
              <w:rPr>
                <w:b w:val="0"/>
                <w:i w:val="0"/>
                <w:color w:val="595959"/>
                <w:sz w:val="14"/>
              </w:rPr>
              <w:t>(texto en Anexo G)</w:t>
            </w:r>
          </w:p>
          <w:p>
            <w:r>
              <w:rPr>
                <w:b w:val="0"/>
                <w:i w:val="0"/>
                <w:sz w:val="14"/>
              </w:rPr>
              <w:t>Evaluados en los ejemplos del Programa:</w:t>
            </w:r>
          </w:p>
          <w:p>
            <w:r>
              <w:rPr>
                <w:b/>
                <w:i w:val="0"/>
                <w:sz w:val="15"/>
              </w:rPr>
              <w:t>OA 1, OA 2</w:t>
            </w:r>
          </w:p>
        </w:tc>
        <w:tc>
          <w:tcPr>
            <w:tcW w:type="dxa" w:w="2438"/>
          </w:tcPr>
          <w:p>
            <w:r/>
            <w:r>
              <w:rPr>
                <w:b/>
                <w:i w:val="0"/>
                <w:sz w:val="15"/>
              </w:rPr>
              <w:t>Palabras clave</w:t>
            </w:r>
          </w:p>
          <w:p>
            <w:pPr>
              <w:pStyle w:val="ListBullet"/>
              <w:spacing w:after="20"/>
              <w:ind w:left="198" w:hanging="170"/>
            </w:pPr>
            <w:r>
              <w:rPr>
                <w:b w:val="0"/>
                <w:i w:val="0"/>
                <w:sz w:val="15"/>
              </w:rPr>
              <w:t>Identidad, pubertad, adolescencia, metas y propósitos personales, sexualidad y sus dimensiones, intimidad.</w:t>
            </w:r>
          </w:p>
        </w:tc>
        <w:tc>
          <w:tcPr>
            <w:tcW w:type="dxa" w:w="7087"/>
          </w:tcPr>
          <w:p>
            <w:r/>
            <w:r>
              <w:rPr>
                <w:b/>
                <w:i w:val="0"/>
                <w:sz w:val="15"/>
              </w:rPr>
              <w:t>Evaluación 1 (OA 1) · pág. 75</w:t>
            </w:r>
          </w:p>
          <w:p>
            <w:pPr>
              <w:pStyle w:val="ListBullet"/>
              <w:spacing w:after="20"/>
              <w:ind w:left="198" w:hanging="170"/>
            </w:pPr>
            <w:r>
              <w:rPr>
                <w:b w:val="0"/>
                <w:i w:val="0"/>
                <w:sz w:val="15"/>
              </w:rPr>
              <w:t>Jerarquizan sus intereses y motivaciones para tomar decisiones sobre sus propias vidas.</w:t>
            </w:r>
          </w:p>
          <w:p>
            <w:pPr>
              <w:pStyle w:val="ListBullet"/>
              <w:spacing w:after="20"/>
              <w:ind w:left="198" w:hanging="170"/>
            </w:pPr>
            <w:r>
              <w:rPr>
                <w:b w:val="0"/>
                <w:i w:val="0"/>
                <w:sz w:val="15"/>
              </w:rPr>
              <w:t>Distinguen de qué manera los propios intereses y motivaciones para su futuro se diferencian o convergen con estereotipos o expectativas de otros.</w:t>
            </w:r>
          </w:p>
          <w:p>
            <w:pPr>
              <w:pStyle w:val="ListBullet"/>
              <w:spacing w:after="20"/>
              <w:ind w:left="198" w:hanging="170"/>
            </w:pPr>
            <w:r>
              <w:rPr>
                <w:b w:val="0"/>
                <w:i w:val="0"/>
                <w:sz w:val="15"/>
              </w:rPr>
              <w:t>Describen maneras de utilizar las oportunidades y redes de apoyo que pueden encontrar para concretar su proyecto de vida.</w:t>
            </w:r>
          </w:p>
          <w:p>
            <w:pPr>
              <w:pStyle w:val="ListBullet"/>
              <w:spacing w:after="20"/>
              <w:ind w:left="198" w:hanging="170"/>
            </w:pPr>
            <w:r>
              <w:rPr>
                <w:b w:val="0"/>
                <w:i w:val="0"/>
                <w:sz w:val="15"/>
              </w:rPr>
              <w:t>Identifican de qué maneras los posibles cambios o giros en un proyecto de vida pueden implicar oportunidades y amenazas para el desarrollo de los propios intereses y motivaciones.</w:t>
            </w:r>
          </w:p>
          <w:p>
            <w:pPr>
              <w:pStyle w:val="ListBullet"/>
              <w:spacing w:after="20"/>
              <w:ind w:left="198" w:hanging="170"/>
            </w:pPr>
            <w:r>
              <w:rPr>
                <w:b w:val="0"/>
                <w:i w:val="0"/>
                <w:sz w:val="15"/>
              </w:rPr>
              <w:t>Proyectan rutas o planes alternativos que podrían seguir en caso de no poder llevar a cabo aquellos que consideran como su primera opción.</w:t>
            </w:r>
          </w:p>
          <w:p>
            <w:r>
              <w:rPr>
                <w:b/>
                <w:i w:val="0"/>
                <w:sz w:val="15"/>
              </w:rPr>
              <w:t>Evaluación 2 (OA 2) · pág. 77</w:t>
            </w:r>
          </w:p>
          <w:p>
            <w:pPr>
              <w:pStyle w:val="ListBullet"/>
              <w:spacing w:after="20"/>
              <w:ind w:left="198" w:hanging="170"/>
            </w:pPr>
            <w:r>
              <w:rPr>
                <w:b w:val="0"/>
                <w:i w:val="0"/>
                <w:sz w:val="15"/>
              </w:rPr>
              <w:t>Distinguen diversas formas de establecer relaciones de pareja e intimidad, en función de la integridad y el bienestar propio y de las personas.</w:t>
            </w:r>
          </w:p>
          <w:p>
            <w:pPr>
              <w:pStyle w:val="ListBullet"/>
              <w:spacing w:after="20"/>
              <w:ind w:left="198" w:hanging="170"/>
            </w:pPr>
            <w:r>
              <w:rPr>
                <w:b w:val="0"/>
                <w:i w:val="0"/>
                <w:sz w:val="15"/>
              </w:rPr>
              <w:t>Determinan la importancia del respeto por su propia intimidad, su bienestar físico y emocional en el contexto de la sexualidad (orientación e identidad) y vínculos afectivos.</w:t>
            </w:r>
          </w:p>
          <w:p>
            <w:pPr>
              <w:pStyle w:val="ListBullet"/>
              <w:spacing w:after="20"/>
              <w:ind w:left="198" w:hanging="170"/>
            </w:pPr>
            <w:r>
              <w:rPr>
                <w:b w:val="0"/>
                <w:i w:val="0"/>
                <w:sz w:val="15"/>
              </w:rPr>
              <w:t>Explican temáticas asociadas a la sexualidad y a los vínculos afectivos en función de la integridad y el bienestar de todo ser humano.</w:t>
            </w:r>
          </w:p>
          <w:p>
            <w:pPr>
              <w:pStyle w:val="ListBullet"/>
              <w:spacing w:after="20"/>
              <w:ind w:left="198" w:hanging="170"/>
            </w:pPr>
            <w:r>
              <w:rPr>
                <w:b w:val="0"/>
                <w:i w:val="0"/>
                <w:sz w:val="15"/>
              </w:rPr>
              <w:t>Promueven estrategias para afrontar diversas problemáticas asociadas a la sexualidad y los vínculos afectivos que se presentan en el contexto social.</w:t>
            </w:r>
          </w:p>
          <w:p>
            <w:r>
              <w:rPr>
                <w:b/>
                <w:i w:val="0"/>
                <w:sz w:val="15"/>
              </w:rPr>
              <w:t>Evaluación 3 (OA 2) · pág. 78</w:t>
            </w:r>
          </w:p>
          <w:p>
            <w:pPr>
              <w:pStyle w:val="ListBullet"/>
              <w:spacing w:after="20"/>
              <w:ind w:left="198" w:hanging="170"/>
            </w:pPr>
            <w:r>
              <w:rPr>
                <w:b w:val="0"/>
                <w:i w:val="0"/>
                <w:sz w:val="15"/>
              </w:rPr>
              <w:t>Distinguen diversas formas de establecer relaciones de pareja e intimidad, en función de la integridad y el bienestar propio y de las personas.</w:t>
            </w:r>
          </w:p>
          <w:p>
            <w:pPr>
              <w:pStyle w:val="ListBullet"/>
              <w:spacing w:after="20"/>
              <w:ind w:left="198" w:hanging="170"/>
            </w:pPr>
            <w:r>
              <w:rPr>
                <w:b w:val="0"/>
                <w:i w:val="0"/>
                <w:sz w:val="15"/>
              </w:rPr>
              <w:t>Determinan la importancia del respeto por su propia intimidad, su bienestar físico y emocional en el contexto de la sexualidad (orientación e identidad) y vínculos afectivos.</w:t>
            </w:r>
          </w:p>
          <w:p>
            <w:pPr>
              <w:pStyle w:val="ListBullet"/>
              <w:spacing w:after="20"/>
              <w:ind w:left="198" w:hanging="170"/>
            </w:pPr>
            <w:r>
              <w:rPr>
                <w:b w:val="0"/>
                <w:i w:val="0"/>
                <w:sz w:val="15"/>
              </w:rPr>
              <w:t>Explican temáticas asociadas a la sexualidad y a los vínculos afectivos en función de la integridad y el bienestar de todo ser humano.</w:t>
            </w:r>
          </w:p>
          <w:p>
            <w:pPr>
              <w:pStyle w:val="ListBullet"/>
              <w:spacing w:after="20"/>
              <w:ind w:left="198" w:hanging="170"/>
            </w:pPr>
            <w:r>
              <w:rPr>
                <w:b w:val="0"/>
                <w:i w:val="0"/>
                <w:sz w:val="15"/>
              </w:rPr>
              <w:t>Promueven estrategias para afrontar diversas problemáticas asociadas a la sexualidad y los vínculos afectivos que se presentan en el contexto social.</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encuesta breve sobre intereses, expectativas y clima del curso.</w:t>
            </w:r>
          </w:p>
          <w:p>
            <w:r>
              <w:rPr>
                <w:b/>
                <w:i w:val="0"/>
                <w:sz w:val="15"/>
              </w:rPr>
              <w:t xml:space="preserve">Formativa. </w:t>
            </w:r>
            <w:r>
              <w:rPr>
                <w:b/>
                <w:i/>
                <w:color w:val="595959"/>
                <w:sz w:val="15"/>
              </w:rPr>
              <w:t xml:space="preserve">Sugerencia — revisar: </w:t>
            </w:r>
            <w:r>
              <w:rPr>
                <w:b w:val="0"/>
                <w:i/>
                <w:color w:val="595959"/>
                <w:sz w:val="15"/>
              </w:rPr>
              <w:t>Reflexión escrita personal (sin calificación) y conversación guiada; registro de metas.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Se propone desarrollar esta evaluación al completar la actividad 2, titulada “Tiempo de decidir”, del OA 1, la cual invita a las y los jóvenes a utilizar de forma responsable las oportunidades y redes de apoyo para concretar su proyecto de vida. (pág. 75)</w:t>
            </w:r>
          </w:p>
          <w:p>
            <w:pPr>
              <w:pStyle w:val="ListBullet"/>
              <w:spacing w:after="20"/>
              <w:ind w:left="198" w:hanging="170"/>
            </w:pPr>
            <w:r>
              <w:rPr>
                <w:b/>
                <w:i w:val="0"/>
                <w:sz w:val="15"/>
              </w:rPr>
              <w:t xml:space="preserve">Evaluación 2: </w:t>
            </w:r>
            <w:r>
              <w:rPr>
                <w:b w:val="0"/>
                <w:i w:val="0"/>
                <w:sz w:val="15"/>
              </w:rPr>
              <w:t>Se propone desarrollar esta evaluación al completar la actividad 1 “¡No más!” del OA 2, la cual los invita a distinguir diversas dificultades asociadas a la sexualidad y los vínculos afectivos, en las que se trasgreda el respeto hacia todo ser humano, la responsabilidad y el cuidado de sí mismo(a) y de los y las demás; ya sea por malas vinculaciones afectivas o por un inadecuado cuidado de sí mismo(a). (pág. 77)</w:t>
            </w:r>
          </w:p>
          <w:p>
            <w:pPr>
              <w:pStyle w:val="ListBullet"/>
              <w:spacing w:after="20"/>
              <w:ind w:left="198" w:hanging="170"/>
            </w:pPr>
            <w:r>
              <w:rPr>
                <w:b/>
                <w:i w:val="0"/>
                <w:sz w:val="15"/>
              </w:rPr>
              <w:t xml:space="preserve">Evaluación 3: </w:t>
            </w:r>
            <w:r>
              <w:rPr>
                <w:b w:val="0"/>
                <w:i w:val="0"/>
                <w:sz w:val="15"/>
              </w:rPr>
              <w:t>Se propone desarrollar esta evaluación al completar la actividad 4, “Mito o realidad”, del OA 2, en la que los y las estudiantes realizarán un resumen de todos los temas vistos en la clase anterior, con el fin de ir clarificando aún más los conceptos que no hayan logrado integrar. (pág. 78)</w:t>
            </w:r>
          </w:p>
        </w:tc>
        <w:tc>
          <w:tcPr>
            <w:tcW w:type="dxa" w:w="1247"/>
          </w:tcPr>
          <w:p>
            <w:r/>
            <w:r>
              <w:rPr>
                <w:b/>
                <w:i/>
                <w:color w:val="595959"/>
                <w:sz w:val="15"/>
              </w:rPr>
              <w:t xml:space="preserve">Sugerencia — revisar: </w:t>
            </w:r>
            <w:r>
              <w:rPr>
                <w:b w:val="0"/>
                <w:i/>
                <w:color w:val="595959"/>
                <w:sz w:val="15"/>
              </w:rPr>
              <w:t>Casos y testimonios; fichas de autoconocimiento; información sobre proyectos de vida.</w:t>
            </w:r>
          </w:p>
        </w:tc>
      </w:tr>
      <w:tr>
        <w:tc>
          <w:tcPr>
            <w:tcW w:type="dxa" w:w="1757"/>
          </w:tcPr>
          <w:p>
            <w:r/>
            <w:r>
              <w:rPr>
                <w:b/>
                <w:i w:val="0"/>
                <w:sz w:val="16"/>
              </w:rPr>
              <w:t>Unidad 2</w:t>
            </w:r>
          </w:p>
          <w:p>
            <w:r>
              <w:rPr>
                <w:b/>
                <w:i w:val="0"/>
                <w:sz w:val="16"/>
              </w:rPr>
              <w:t>Bienestar y autocuidado</w:t>
            </w:r>
          </w:p>
          <w:p>
            <w:r>
              <w:rPr>
                <w:b w:val="0"/>
                <w:i w:val="0"/>
                <w:sz w:val="15"/>
              </w:rPr>
              <w:t>En esta unidad se busca que las y los estudiantes reconozcan la importancia del bienestar y el autocuidado para sus vidas, entendiendo que esto involucra no solo cuidarse de riesgos o amenazas, sino también promover un estilo de vida saludable.</w:t>
            </w:r>
          </w:p>
          <w:p>
            <w:r>
              <w:rPr>
                <w:b w:val="0"/>
                <w:i w:val="0"/>
                <w:color w:val="595959"/>
                <w:sz w:val="14"/>
              </w:rPr>
              <w:t>Programa, págs. 80–99</w:t>
            </w:r>
          </w:p>
        </w:tc>
        <w:tc>
          <w:tcPr>
            <w:tcW w:type="dxa" w:w="1134"/>
          </w:tcPr>
          <w:p>
            <w:r/>
            <w:r>
              <w:rPr>
                <w:b/>
                <w:i w:val="0"/>
                <w:sz w:val="15"/>
              </w:rPr>
              <w:t>Semestre 1</w:t>
            </w:r>
          </w:p>
          <w:p>
            <w:r>
              <w:rPr>
                <w:b w:val="0"/>
                <w:i w:val="0"/>
                <w:sz w:val="15"/>
              </w:rPr>
              <w:t>7 h pedagógicas</w:t>
            </w:r>
          </w:p>
          <w:p>
            <w:r>
              <w:rPr>
                <w:b w:val="0"/>
                <w:i w:val="0"/>
                <w:color w:val="595959"/>
                <w:sz w:val="15"/>
              </w:rPr>
              <w:t>Semanas 11 a 19</w:t>
            </w:r>
          </w:p>
        </w:tc>
        <w:tc>
          <w:tcPr>
            <w:tcW w:type="dxa" w:w="1134"/>
          </w:tcPr>
          <w:p>
            <w:r/>
            <w:r>
              <w:rPr>
                <w:b/>
                <w:i w:val="0"/>
                <w:sz w:val="15"/>
              </w:rPr>
              <w:t>OA 3, OA 4</w:t>
            </w:r>
          </w:p>
          <w:p>
            <w:r>
              <w:rPr>
                <w:b w:val="0"/>
                <w:i w:val="0"/>
                <w:color w:val="595959"/>
                <w:sz w:val="14"/>
              </w:rPr>
              <w:t>(texto en Anexo G)</w:t>
            </w:r>
          </w:p>
          <w:p>
            <w:r>
              <w:rPr>
                <w:b w:val="0"/>
                <w:i w:val="0"/>
                <w:sz w:val="14"/>
              </w:rPr>
              <w:t>Evaluados en los ejemplos del Programa:</w:t>
            </w:r>
          </w:p>
          <w:p>
            <w:r>
              <w:rPr>
                <w:b/>
                <w:i w:val="0"/>
                <w:sz w:val="15"/>
              </w:rPr>
              <w:t>OA 3, OA 4</w:t>
            </w:r>
          </w:p>
        </w:tc>
        <w:tc>
          <w:tcPr>
            <w:tcW w:type="dxa" w:w="2438"/>
          </w:tcPr>
          <w:p>
            <w:r/>
            <w:r>
              <w:rPr>
                <w:b/>
                <w:i w:val="0"/>
                <w:sz w:val="15"/>
              </w:rPr>
              <w:t>Palabras clave</w:t>
            </w:r>
          </w:p>
          <w:p>
            <w:pPr>
              <w:pStyle w:val="ListBullet"/>
              <w:spacing w:after="20"/>
              <w:ind w:left="198" w:hanging="170"/>
            </w:pPr>
            <w:r>
              <w:rPr>
                <w:b w:val="0"/>
                <w:i w:val="0"/>
                <w:sz w:val="15"/>
              </w:rPr>
              <w:t>Bienestar, vida saludable, autocuidado, riesgos, amenazas, conductas riesgosas, comunicación asertiva. BIENESTAR Y AUTOCUIDADO</w:t>
            </w:r>
          </w:p>
        </w:tc>
        <w:tc>
          <w:tcPr>
            <w:tcW w:type="dxa" w:w="7087"/>
          </w:tcPr>
          <w:p>
            <w:r/>
            <w:r>
              <w:rPr>
                <w:b/>
                <w:i w:val="0"/>
                <w:sz w:val="15"/>
              </w:rPr>
              <w:t>Evaluación 1 (OA 3) · pág. 93</w:t>
            </w:r>
          </w:p>
          <w:p>
            <w:pPr>
              <w:pStyle w:val="ListBullet"/>
              <w:spacing w:after="20"/>
              <w:ind w:left="198" w:hanging="170"/>
            </w:pPr>
            <w:r>
              <w:rPr>
                <w:b w:val="0"/>
                <w:i w:val="0"/>
                <w:sz w:val="15"/>
              </w:rPr>
              <w:t>Identifican en sí mismos y en su entorno situaciones problemáticas asociadas al consumo de sustancias nocivas para la salud, conductas sexuales, violencia, entre otras.</w:t>
            </w:r>
          </w:p>
          <w:p>
            <w:pPr>
              <w:pStyle w:val="ListBullet"/>
              <w:spacing w:after="20"/>
              <w:ind w:left="198" w:hanging="170"/>
            </w:pPr>
            <w:r>
              <w:rPr>
                <w:b w:val="0"/>
                <w:i w:val="0"/>
                <w:sz w:val="15"/>
              </w:rPr>
              <w:t>Discriminan situaciones a las que se pueden ver expuestos en función del riesgo asociado a estas.</w:t>
            </w:r>
          </w:p>
          <w:p>
            <w:pPr>
              <w:pStyle w:val="ListBullet"/>
              <w:spacing w:after="20"/>
              <w:ind w:left="198" w:hanging="170"/>
            </w:pPr>
            <w:r>
              <w:rPr>
                <w:b w:val="0"/>
                <w:i w:val="0"/>
                <w:sz w:val="15"/>
              </w:rPr>
              <w:t>Explican las consecuencias que puede tener para una persona la exposición a situaciones de riesgo.</w:t>
            </w:r>
          </w:p>
          <w:p>
            <w:pPr>
              <w:pStyle w:val="ListBullet"/>
              <w:spacing w:after="20"/>
              <w:ind w:left="198" w:hanging="170"/>
            </w:pPr>
            <w:r>
              <w:rPr>
                <w:b w:val="0"/>
                <w:i w:val="0"/>
                <w:sz w:val="15"/>
              </w:rPr>
              <w:t>Generan estrategias de resolución de problemas asociados al consumo de sustancias, conductas sexuales de riesgo, violencia, entre otros.</w:t>
            </w:r>
          </w:p>
          <w:p>
            <w:pPr>
              <w:pStyle w:val="ListBullet"/>
              <w:spacing w:after="20"/>
              <w:ind w:left="198" w:hanging="170"/>
            </w:pPr>
            <w:r>
              <w:rPr>
                <w:b w:val="0"/>
                <w:i w:val="0"/>
                <w:sz w:val="15"/>
              </w:rPr>
              <w:t>Diseñan mecanismos de difusión de las instancias de apoyo con que cuentan en su comunidad, considerando la pertinencia de estas ante situaciones de riesgo.</w:t>
            </w:r>
          </w:p>
          <w:p>
            <w:r>
              <w:rPr>
                <w:b/>
                <w:i w:val="0"/>
                <w:sz w:val="15"/>
              </w:rPr>
              <w:t>Evaluación 2 (OA 4) · pág. 95</w:t>
            </w:r>
          </w:p>
          <w:p>
            <w:pPr>
              <w:pStyle w:val="ListBullet"/>
              <w:spacing w:after="20"/>
              <w:ind w:left="198" w:hanging="170"/>
            </w:pPr>
            <w:r>
              <w:rPr>
                <w:b w:val="0"/>
                <w:i w:val="0"/>
                <w:sz w:val="15"/>
              </w:rPr>
              <w:t>Participan en el diseño e implementación de prácticas para promover la vida saludable a nivel personal y social.</w:t>
            </w:r>
          </w:p>
          <w:p>
            <w:pPr>
              <w:pStyle w:val="ListBullet"/>
              <w:spacing w:after="20"/>
              <w:ind w:left="198" w:hanging="170"/>
            </w:pPr>
            <w:r>
              <w:rPr>
                <w:b w:val="0"/>
                <w:i w:val="0"/>
                <w:sz w:val="15"/>
              </w:rPr>
              <w:t>Evalúan iniciativas para promover la vida saludable, desarrolladas en el establecimiento o en su entorno local, considerando la contribución que estas han generado para ellos(as) mismos(as) y su entorno.</w:t>
            </w:r>
          </w:p>
          <w:p>
            <w:pPr>
              <w:pStyle w:val="ListBullet"/>
              <w:spacing w:after="20"/>
              <w:ind w:left="198" w:hanging="170"/>
            </w:pPr>
            <w:r>
              <w:rPr>
                <w:b w:val="0"/>
                <w:i w:val="0"/>
                <w:sz w:val="15"/>
              </w:rPr>
              <w:t>Discriminan las ventajas y los beneficios potenciales de promover una vida saludable para ellos(as) mismos(as) y quienes les rodean.</w:t>
            </w:r>
          </w:p>
          <w:p>
            <w:pPr>
              <w:pStyle w:val="ListBullet"/>
              <w:spacing w:after="20"/>
              <w:ind w:left="198" w:hanging="170"/>
            </w:pPr>
            <w:r>
              <w:rPr>
                <w:b w:val="0"/>
                <w:i w:val="0"/>
                <w:sz w:val="15"/>
              </w:rPr>
              <w:t>Proponen maneras de enfrentar las dificultades para ejecutar y sostener en el tiempo prácticas que favorecen un estilo de vida saludable.</w:t>
            </w:r>
          </w:p>
          <w:p>
            <w:r>
              <w:rPr>
                <w:b/>
                <w:i w:val="0"/>
                <w:sz w:val="15"/>
              </w:rPr>
              <w:t>Evaluación 3 (OA 4) · pág. 97</w:t>
            </w:r>
          </w:p>
          <w:p>
            <w:pPr>
              <w:pStyle w:val="ListBullet"/>
              <w:spacing w:after="20"/>
              <w:ind w:left="198" w:hanging="170"/>
            </w:pPr>
            <w:r>
              <w:rPr>
                <w:b w:val="0"/>
                <w:i w:val="0"/>
                <w:sz w:val="15"/>
              </w:rPr>
              <w:t>Participan en el diseño e implementación de prácticas para promover la vida saludable a nivel personal y social.</w:t>
            </w:r>
          </w:p>
          <w:p>
            <w:pPr>
              <w:pStyle w:val="ListBullet"/>
              <w:spacing w:after="20"/>
              <w:ind w:left="198" w:hanging="170"/>
            </w:pPr>
            <w:r>
              <w:rPr>
                <w:b w:val="0"/>
                <w:i w:val="0"/>
                <w:sz w:val="15"/>
              </w:rPr>
              <w:t>Evalúan iniciativas para promover la vida saludable, desarrolladas en el establecimiento o en su entorno local, considerando la contribución que estas han generado para ellos(as) mismos(as) y su entorno.</w:t>
            </w:r>
          </w:p>
          <w:p>
            <w:pPr>
              <w:pStyle w:val="ListBullet"/>
              <w:spacing w:after="20"/>
              <w:ind w:left="198" w:hanging="170"/>
            </w:pPr>
            <w:r>
              <w:rPr>
                <w:b w:val="0"/>
                <w:i w:val="0"/>
                <w:sz w:val="15"/>
              </w:rPr>
              <w:t>Discriminan las ventajas y los beneficios potenciales que tiene promover una vida saludable para ellos(as) mismos(as) y quienes les rodean.</w:t>
            </w:r>
          </w:p>
          <w:p>
            <w:pPr>
              <w:pStyle w:val="ListBullet"/>
              <w:spacing w:after="20"/>
              <w:ind w:left="198" w:hanging="170"/>
            </w:pPr>
            <w:r>
              <w:rPr>
                <w:b w:val="0"/>
                <w:i w:val="0"/>
                <w:sz w:val="15"/>
              </w:rPr>
              <w:t>Proponen maneras de enfrentar las dificultades para ejecutar y sostener en el tiempo prácticas que favorecen un estilo de vida saludable.</w:t>
            </w:r>
          </w:p>
        </w:tc>
        <w:tc>
          <w:tcPr>
            <w:tcW w:type="dxa" w:w="1871"/>
          </w:tcPr>
          <w:p>
            <w:r/>
            <w:r>
              <w:rPr>
                <w:b/>
                <w:i w:val="0"/>
                <w:sz w:val="15"/>
              </w:rPr>
              <w:t xml:space="preserve">Formativa. </w:t>
            </w:r>
            <w:r>
              <w:rPr>
                <w:b/>
                <w:i/>
                <w:color w:val="595959"/>
                <w:sz w:val="15"/>
              </w:rPr>
              <w:t xml:space="preserve">Sugerencia — revisar: </w:t>
            </w:r>
            <w:r>
              <w:rPr>
                <w:b w:val="0"/>
                <w:i/>
                <w:color w:val="595959"/>
                <w:sz w:val="15"/>
              </w:rPr>
              <w:t>Análisis de casos de riesgo y factores protectores con pauta; identificación de redes de apoyo.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Se propone desarrollar esta evaluación al completar la actividad 3 “¿Quién podrá ayudarme?” del OA 3, cuyo propósito es que alumnos y alumnas logren identificar y, en caso de necesidad, recurrir a redes de apoyo con el objetivo de recibir ayuda. (pág. 93)</w:t>
            </w:r>
          </w:p>
          <w:p>
            <w:pPr>
              <w:pStyle w:val="ListBullet"/>
              <w:spacing w:after="20"/>
              <w:ind w:left="198" w:hanging="170"/>
            </w:pPr>
            <w:r>
              <w:rPr>
                <w:b/>
                <w:i w:val="0"/>
                <w:sz w:val="15"/>
              </w:rPr>
              <w:t xml:space="preserve">Evaluación 2: </w:t>
            </w:r>
            <w:r>
              <w:rPr>
                <w:b w:val="0"/>
                <w:i w:val="0"/>
                <w:sz w:val="15"/>
              </w:rPr>
              <w:t>Se propone desarrollar esta evaluación al completar la actividad 1, “Dieta digital”, del OA 4, la cual invita a que las y los estudiantes sean conscientes del tiempo que pasan conectados a la red. (pág. 95)</w:t>
            </w:r>
          </w:p>
          <w:p>
            <w:pPr>
              <w:pStyle w:val="ListBullet"/>
              <w:spacing w:after="20"/>
              <w:ind w:left="198" w:hanging="170"/>
            </w:pPr>
            <w:r>
              <w:rPr>
                <w:b/>
                <w:i w:val="0"/>
                <w:sz w:val="15"/>
              </w:rPr>
              <w:t xml:space="preserve">Evaluación 3: </w:t>
            </w:r>
            <w:r>
              <w:rPr>
                <w:b w:val="0"/>
                <w:i w:val="0"/>
                <w:sz w:val="15"/>
              </w:rPr>
              <w:t>Se propone desarrollar esta evaluación al completar la actividad 3, “Obsesión”, del OA 4, la cual consiste en que la o el docente logre generar en sus estudiantes conciencia respecto a la importancia que tiene una buena alimentación para llevar una vida saludable. (pág. 97)</w:t>
            </w:r>
          </w:p>
        </w:tc>
        <w:tc>
          <w:tcPr>
            <w:tcW w:type="dxa" w:w="1247"/>
          </w:tcPr>
          <w:p>
            <w:r/>
            <w:r>
              <w:rPr>
                <w:b/>
                <w:i/>
                <w:color w:val="595959"/>
                <w:sz w:val="15"/>
              </w:rPr>
              <w:t xml:space="preserve">Sugerencia — revisar: </w:t>
            </w:r>
            <w:r>
              <w:rPr>
                <w:b w:val="0"/>
                <w:i/>
                <w:color w:val="595959"/>
                <w:sz w:val="15"/>
              </w:rPr>
              <w:t>Material de SENDA y del Minsal; redes de apoyo de la comuna (CESFAM, OPD, Programa Habilidades para la Vida).</w:t>
            </w:r>
          </w:p>
        </w:tc>
      </w:tr>
      <w:tr>
        <w:tc>
          <w:tcPr>
            <w:tcW w:type="dxa" w:w="1757"/>
          </w:tcPr>
          <w:p>
            <w:r/>
            <w:r>
              <w:rPr>
                <w:b/>
                <w:i w:val="0"/>
                <w:sz w:val="16"/>
              </w:rPr>
              <w:t>Unidad 3</w:t>
            </w:r>
          </w:p>
          <w:p>
            <w:r>
              <w:rPr>
                <w:b/>
                <w:i w:val="0"/>
                <w:sz w:val="16"/>
              </w:rPr>
              <w:t>Relaciones interpersonales</w:t>
            </w:r>
          </w:p>
          <w:p>
            <w:r>
              <w:rPr>
                <w:b w:val="0"/>
                <w:i w:val="0"/>
                <w:sz w:val="15"/>
              </w:rPr>
              <w:t>Esta unidad tiene como foco central las relaciones interpersonales en las que participan y también observan las y los estudiantes.</w:t>
            </w:r>
          </w:p>
          <w:p>
            <w:r>
              <w:rPr>
                <w:b w:val="0"/>
                <w:i w:val="0"/>
                <w:color w:val="595959"/>
                <w:sz w:val="14"/>
              </w:rPr>
              <w:t>Programa, págs. 100–116</w:t>
            </w:r>
          </w:p>
        </w:tc>
        <w:tc>
          <w:tcPr>
            <w:tcW w:type="dxa" w:w="1134"/>
          </w:tcPr>
          <w:p>
            <w:r/>
            <w:r>
              <w:rPr>
                <w:b/>
                <w:i w:val="0"/>
                <w:sz w:val="15"/>
              </w:rPr>
              <w:t>Semestre 2</w:t>
            </w:r>
          </w:p>
          <w:p>
            <w:r>
              <w:rPr>
                <w:b w:val="0"/>
                <w:i w:val="0"/>
                <w:sz w:val="15"/>
              </w:rPr>
              <w:t>7 h pedagógicas</w:t>
            </w:r>
          </w:p>
          <w:p>
            <w:r>
              <w:rPr>
                <w:b w:val="0"/>
                <w:i w:val="0"/>
                <w:color w:val="595959"/>
                <w:sz w:val="15"/>
              </w:rPr>
              <w:t>Semanas 20 a 26</w:t>
            </w:r>
          </w:p>
        </w:tc>
        <w:tc>
          <w:tcPr>
            <w:tcW w:type="dxa" w:w="1134"/>
          </w:tcPr>
          <w:p>
            <w:r/>
            <w:r>
              <w:rPr>
                <w:b/>
                <w:i w:val="0"/>
                <w:sz w:val="15"/>
              </w:rPr>
              <w:t>OA 5, OA 6</w:t>
            </w:r>
          </w:p>
          <w:p>
            <w:r>
              <w:rPr>
                <w:b w:val="0"/>
                <w:i w:val="0"/>
                <w:color w:val="595959"/>
                <w:sz w:val="14"/>
              </w:rPr>
              <w:t>(texto en Anexo G)</w:t>
            </w:r>
          </w:p>
          <w:p>
            <w:r>
              <w:rPr>
                <w:b w:val="0"/>
                <w:i w:val="0"/>
                <w:sz w:val="14"/>
              </w:rPr>
              <w:t>Evaluados en los ejemplos del Programa:</w:t>
            </w:r>
          </w:p>
          <w:p>
            <w:r>
              <w:rPr>
                <w:b/>
                <w:i w:val="0"/>
                <w:sz w:val="15"/>
              </w:rPr>
              <w:t>OA 5, OA 6</w:t>
            </w:r>
          </w:p>
        </w:tc>
        <w:tc>
          <w:tcPr>
            <w:tcW w:type="dxa" w:w="2438"/>
          </w:tcPr>
          <w:p>
            <w:r/>
            <w:r>
              <w:rPr>
                <w:b/>
                <w:i w:val="0"/>
                <w:sz w:val="15"/>
              </w:rPr>
              <w:t>Palabras clave</w:t>
            </w:r>
          </w:p>
          <w:p>
            <w:pPr>
              <w:pStyle w:val="ListBullet"/>
              <w:spacing w:after="20"/>
              <w:ind w:left="198" w:hanging="170"/>
            </w:pPr>
            <w:r>
              <w:rPr>
                <w:b w:val="0"/>
                <w:i w:val="0"/>
                <w:sz w:val="15"/>
              </w:rPr>
              <w:t>Derechos, igualdad, dignidad, inclusión, discriminación, redes sociales, conflictos, diálogo, escucha activa y empática.</w:t>
            </w:r>
          </w:p>
        </w:tc>
        <w:tc>
          <w:tcPr>
            <w:tcW w:type="dxa" w:w="7087"/>
          </w:tcPr>
          <w:p>
            <w:r/>
            <w:r>
              <w:rPr>
                <w:b/>
                <w:i w:val="0"/>
                <w:sz w:val="15"/>
              </w:rPr>
              <w:t>Evaluación 1 (OA 5) · pág. 111</w:t>
            </w:r>
          </w:p>
          <w:p>
            <w:pPr>
              <w:pStyle w:val="ListBullet"/>
              <w:spacing w:after="20"/>
              <w:ind w:left="198" w:hanging="170"/>
            </w:pPr>
            <w:r>
              <w:rPr>
                <w:b w:val="0"/>
                <w:i w:val="0"/>
                <w:sz w:val="15"/>
              </w:rPr>
              <w:t>Colaboran en la promoción de formas de relación y convivencia cotidianas que favorezcan el respeto por la dignidad, la equidad, la no discriminación y la inclusión.</w:t>
            </w:r>
          </w:p>
          <w:p>
            <w:pPr>
              <w:pStyle w:val="ListBullet"/>
              <w:spacing w:after="20"/>
              <w:ind w:left="198" w:hanging="170"/>
            </w:pPr>
            <w:r>
              <w:rPr>
                <w:b w:val="0"/>
                <w:i w:val="0"/>
                <w:sz w:val="15"/>
              </w:rPr>
              <w:t>Evalúan normas y prácticas de las relaciones interpersonales de su entorno en función de su coherencia con los principios de igualdad, dignidad, inclusión y no discriminación.</w:t>
            </w:r>
          </w:p>
          <w:p>
            <w:pPr>
              <w:pStyle w:val="ListBullet"/>
              <w:spacing w:after="20"/>
              <w:ind w:left="198" w:hanging="170"/>
            </w:pPr>
            <w:r>
              <w:rPr>
                <w:b w:val="0"/>
                <w:i w:val="0"/>
                <w:sz w:val="15"/>
              </w:rPr>
              <w:t>Utilizan diferentes mecanismos para mantener interacciones que pueden favorecer el bienestar, la dignidad y/o los derechos de ellos(as) mismos(as) y/o de sus compañeros y compañeras.</w:t>
            </w:r>
          </w:p>
          <w:p>
            <w:pPr>
              <w:pStyle w:val="ListBullet"/>
              <w:spacing w:after="20"/>
              <w:ind w:left="198" w:hanging="170"/>
            </w:pPr>
            <w:r>
              <w:rPr>
                <w:b w:val="0"/>
                <w:i w:val="0"/>
                <w:sz w:val="15"/>
              </w:rPr>
              <w:t>Proponen estrategias para facilitar que las interacciones cotidianas en las que participan promuevan el bienestar y el respeto de los derechos de todos quienes estén involucrados.</w:t>
            </w:r>
          </w:p>
          <w:p>
            <w:pPr>
              <w:pStyle w:val="ListBullet"/>
              <w:spacing w:after="20"/>
              <w:ind w:left="198" w:hanging="170"/>
            </w:pPr>
            <w:r>
              <w:rPr>
                <w:b w:val="0"/>
                <w:i w:val="0"/>
                <w:sz w:val="15"/>
              </w:rPr>
              <w:t>Establecen formas de utilizar los medios electrónicos y las redes sociales salvaguardando el bienestar y la dignidad de las personas.</w:t>
            </w:r>
          </w:p>
          <w:p>
            <w:r>
              <w:rPr>
                <w:b/>
                <w:i w:val="0"/>
                <w:sz w:val="15"/>
              </w:rPr>
              <w:t>Evaluación 2 (OA 5) · pág. 113</w:t>
            </w:r>
          </w:p>
          <w:p>
            <w:pPr>
              <w:pStyle w:val="ListBullet"/>
              <w:spacing w:after="20"/>
              <w:ind w:left="198" w:hanging="170"/>
            </w:pPr>
            <w:r>
              <w:rPr>
                <w:b w:val="0"/>
                <w:i w:val="0"/>
                <w:sz w:val="15"/>
              </w:rPr>
              <w:t>Colaboran en la promoción de formas de relación y convivencia cotidianas que favorezcan el respeto por la dignidad, la equidad, la no discriminación y la inclusión.</w:t>
            </w:r>
          </w:p>
          <w:p>
            <w:pPr>
              <w:pStyle w:val="ListBullet"/>
              <w:spacing w:after="20"/>
              <w:ind w:left="198" w:hanging="170"/>
            </w:pPr>
            <w:r>
              <w:rPr>
                <w:b w:val="0"/>
                <w:i w:val="0"/>
                <w:sz w:val="15"/>
              </w:rPr>
              <w:t>Evalúan normas y prácticas de las relaciones interpersonales de su entorno en función de su coherencia con los principios de igualdad, dignidad, inclusión y no discriminación.</w:t>
            </w:r>
          </w:p>
          <w:p>
            <w:pPr>
              <w:pStyle w:val="ListBullet"/>
              <w:spacing w:after="20"/>
              <w:ind w:left="198" w:hanging="170"/>
            </w:pPr>
            <w:r>
              <w:rPr>
                <w:b w:val="0"/>
                <w:i w:val="0"/>
                <w:sz w:val="15"/>
              </w:rPr>
              <w:t>Utilizan diferentes mecanismos para mantener interacciones que pueden favorecer el bienestar, la dignidad y/o los derechos de ellos mismos(as) y de sus compañeros y compañeras.</w:t>
            </w:r>
          </w:p>
          <w:p>
            <w:pPr>
              <w:pStyle w:val="ListBullet"/>
              <w:spacing w:after="20"/>
              <w:ind w:left="198" w:hanging="170"/>
            </w:pPr>
            <w:r>
              <w:rPr>
                <w:b w:val="0"/>
                <w:i w:val="0"/>
                <w:sz w:val="15"/>
              </w:rPr>
              <w:t>Proponen estrategias para facilitar que las interacciones cotidianas en las que participan promuevan el bienestar y el respeto de los derechos de todos quienes estén involucrados.</w:t>
            </w:r>
          </w:p>
          <w:p>
            <w:pPr>
              <w:pStyle w:val="ListBullet"/>
              <w:spacing w:after="20"/>
              <w:ind w:left="198" w:hanging="170"/>
            </w:pPr>
            <w:r>
              <w:rPr>
                <w:b w:val="0"/>
                <w:i w:val="0"/>
                <w:sz w:val="15"/>
              </w:rPr>
              <w:t>Establecen formas de utilizar los medios electrónicos y las redes sociales salvaguardando el bienestar y la dignidad de las personas.</w:t>
            </w:r>
          </w:p>
          <w:p>
            <w:r>
              <w:rPr>
                <w:b/>
                <w:i w:val="0"/>
                <w:sz w:val="15"/>
              </w:rPr>
              <w:t>Evaluación 3 (OA 6) · pág. 115</w:t>
            </w:r>
          </w:p>
          <w:p>
            <w:pPr>
              <w:pStyle w:val="ListBullet"/>
              <w:spacing w:after="20"/>
              <w:ind w:left="198" w:hanging="170"/>
            </w:pPr>
            <w:r>
              <w:rPr>
                <w:b w:val="0"/>
                <w:i w:val="0"/>
                <w:sz w:val="15"/>
              </w:rPr>
              <w:t>Reconocen cómo, en situaciones de conflicto, sus propios intereses se pueden contraponer con los intereses de otros.</w:t>
            </w:r>
          </w:p>
          <w:p>
            <w:pPr>
              <w:pStyle w:val="ListBullet"/>
              <w:spacing w:after="20"/>
              <w:ind w:left="198" w:hanging="170"/>
            </w:pPr>
            <w:r>
              <w:rPr>
                <w:b w:val="0"/>
                <w:i w:val="0"/>
                <w:sz w:val="15"/>
              </w:rPr>
              <w:t>Discriminan entre modos de solucionar conflictos que resguardan los derechos de los involucrados, de aquellos que no lo hacen.</w:t>
            </w:r>
          </w:p>
          <w:p>
            <w:pPr>
              <w:pStyle w:val="ListBullet"/>
              <w:spacing w:after="20"/>
              <w:ind w:left="198" w:hanging="170"/>
            </w:pPr>
            <w:r>
              <w:rPr>
                <w:b w:val="0"/>
                <w:i w:val="0"/>
                <w:sz w:val="15"/>
              </w:rPr>
              <w:t>Evalúan la resolución de conflictos en términos de la proporcionalidad lograda entre concesiones y beneficios para ambas partes.</w:t>
            </w:r>
          </w:p>
          <w:p>
            <w:pPr>
              <w:pStyle w:val="ListBullet"/>
              <w:spacing w:after="20"/>
              <w:ind w:left="198" w:hanging="170"/>
            </w:pPr>
            <w:r>
              <w:rPr>
                <w:b w:val="0"/>
                <w:i w:val="0"/>
                <w:sz w:val="15"/>
              </w:rPr>
              <w:t>Evalúan la manera en que el incumplimiento unilateral o recíproco de los compromisos afectaría la resolución efectiva de los conflictos, identificando potenciales dificultades al respecto.</w:t>
            </w:r>
          </w:p>
          <w:p>
            <w:pPr>
              <w:pStyle w:val="ListBullet"/>
              <w:spacing w:after="20"/>
              <w:ind w:left="198" w:hanging="170"/>
            </w:pPr>
            <w:r>
              <w:rPr>
                <w:b w:val="0"/>
                <w:i w:val="0"/>
                <w:sz w:val="15"/>
              </w:rPr>
              <w:t>Proponen estrategias para superar las dificultades que pueden tener al momento de dar cumplimiento a los compromisos adoptados para solucionar conflictos.</w:t>
            </w:r>
          </w:p>
          <w:p>
            <w:pPr>
              <w:pStyle w:val="ListBullet"/>
              <w:spacing w:after="20"/>
              <w:ind w:left="198" w:hanging="170"/>
            </w:pPr>
            <w:r>
              <w:rPr>
                <w:b w:val="0"/>
                <w:i w:val="0"/>
                <w:sz w:val="15"/>
              </w:rPr>
              <w:t>Determinan la importancia que tiene el proceso de negociación y los argumentos escuchados para llegar a un acuerdo en común ante una situación de conflicto.</w:t>
            </w:r>
          </w:p>
        </w:tc>
        <w:tc>
          <w:tcPr>
            <w:tcW w:type="dxa" w:w="1871"/>
          </w:tcPr>
          <w:p>
            <w:r/>
            <w:r>
              <w:rPr>
                <w:b/>
                <w:i w:val="0"/>
                <w:sz w:val="15"/>
              </w:rPr>
              <w:t xml:space="preserve">Formativa. </w:t>
            </w:r>
            <w:r>
              <w:rPr>
                <w:b/>
                <w:i/>
                <w:color w:val="595959"/>
                <w:sz w:val="15"/>
              </w:rPr>
              <w:t xml:space="preserve">Sugerencia — revisar: </w:t>
            </w:r>
            <w:r>
              <w:rPr>
                <w:b w:val="0"/>
                <w:i/>
                <w:color w:val="595959"/>
                <w:sz w:val="15"/>
              </w:rPr>
              <w:t>Juego de roles sobre resolución de conflictos con pauta de observación; reflexión grupal.</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Se propone desarrollar esta evaluación al completar la actividad 1 “¿Qué nos transfieren los medios de comunicación?” del OA 5, la cual pretende favorecer el análisis de situaciones presentadas en medios de comunicación y redes sociales que promuevan la violencia simbólica, permitiendo a las y los estudiantes tomar conocimiento de otras formas de trasgredir los derechos de las personas y los principios de igualdad, dignidad, inclusión y no discriminación. (pág. 111)</w:t>
            </w:r>
          </w:p>
          <w:p>
            <w:pPr>
              <w:pStyle w:val="ListBullet"/>
              <w:spacing w:after="20"/>
              <w:ind w:left="198" w:hanging="170"/>
            </w:pPr>
            <w:r>
              <w:rPr>
                <w:b/>
                <w:i w:val="0"/>
                <w:sz w:val="15"/>
              </w:rPr>
              <w:t xml:space="preserve">Evaluación 2: </w:t>
            </w:r>
            <w:r>
              <w:rPr>
                <w:b w:val="0"/>
                <w:i w:val="0"/>
                <w:sz w:val="15"/>
              </w:rPr>
              <w:t>Se propone desarrollar esta evaluación al completar la actividad 3 “¿Cómo hacemos la diferencia?”, del OA 5. Esta consiste en que las y los estudiantes promuevan en su entorno relaciones interpersonales basadas en los principios de igualdad, dignidad, inclusión y no discriminación a través de medios de comunicación masiva. (pág. 113)</w:t>
            </w:r>
          </w:p>
          <w:p>
            <w:pPr>
              <w:pStyle w:val="ListBullet"/>
              <w:spacing w:after="20"/>
              <w:ind w:left="198" w:hanging="170"/>
            </w:pPr>
            <w:r>
              <w:rPr>
                <w:b/>
                <w:i w:val="0"/>
                <w:sz w:val="15"/>
              </w:rPr>
              <w:t xml:space="preserve">Evaluación 3: </w:t>
            </w:r>
            <w:r>
              <w:rPr>
                <w:b w:val="0"/>
                <w:i w:val="0"/>
                <w:sz w:val="15"/>
              </w:rPr>
              <w:t>Se propone desarrollar esta evaluación al completar la actividad 2 “La negociación”, del OA 6, en la cual las y los estudiantes establecen en conjunto una solución para alguno de los conflictos que hayan experimentado como curso. (pág. 115)</w:t>
            </w:r>
          </w:p>
        </w:tc>
        <w:tc>
          <w:tcPr>
            <w:tcW w:type="dxa" w:w="1247"/>
          </w:tcPr>
          <w:p>
            <w:r/>
            <w:r>
              <w:rPr>
                <w:b/>
                <w:i/>
                <w:color w:val="595959"/>
                <w:sz w:val="15"/>
              </w:rPr>
              <w:t xml:space="preserve">Sugerencia — revisar: </w:t>
            </w:r>
            <w:r>
              <w:rPr>
                <w:b w:val="0"/>
                <w:i/>
                <w:color w:val="595959"/>
                <w:sz w:val="15"/>
              </w:rPr>
              <w:t>Casos de convivencia escolar; protocolos del reglamento interno; material sobre buen trato.</w:t>
            </w:r>
          </w:p>
        </w:tc>
      </w:tr>
      <w:tr>
        <w:tc>
          <w:tcPr>
            <w:tcW w:type="dxa" w:w="1757"/>
          </w:tcPr>
          <w:p>
            <w:r/>
            <w:r>
              <w:rPr>
                <w:b/>
                <w:i w:val="0"/>
                <w:sz w:val="16"/>
              </w:rPr>
              <w:t>Unidad 4</w:t>
            </w:r>
          </w:p>
          <w:p>
            <w:r>
              <w:rPr>
                <w:b/>
                <w:i w:val="0"/>
                <w:sz w:val="16"/>
              </w:rPr>
              <w:t>Pertenencia y participación democrática</w:t>
            </w:r>
          </w:p>
          <w:p>
            <w:r>
              <w:rPr>
                <w:b w:val="0"/>
                <w:i w:val="0"/>
                <w:sz w:val="15"/>
              </w:rPr>
              <w:t>Esta unidad se focaliza en la manera en que las y los estudiantes entienden y asumen su vinculación con las instancias sociales o los espacios de los que forman parte.</w:t>
            </w:r>
          </w:p>
          <w:p>
            <w:r>
              <w:rPr>
                <w:b w:val="0"/>
                <w:i w:val="0"/>
                <w:color w:val="595959"/>
                <w:sz w:val="14"/>
              </w:rPr>
              <w:t>Programa, págs. 117–134</w:t>
            </w:r>
          </w:p>
        </w:tc>
        <w:tc>
          <w:tcPr>
            <w:tcW w:type="dxa" w:w="1134"/>
          </w:tcPr>
          <w:p>
            <w:r/>
            <w:r>
              <w:rPr>
                <w:b/>
                <w:i w:val="0"/>
                <w:sz w:val="15"/>
              </w:rPr>
              <w:t>Semestre 2</w:t>
            </w:r>
          </w:p>
          <w:p>
            <w:r>
              <w:rPr>
                <w:b w:val="0"/>
                <w:i w:val="0"/>
                <w:sz w:val="15"/>
              </w:rPr>
              <w:t>7 h pedagógicas</w:t>
            </w:r>
          </w:p>
          <w:p>
            <w:r>
              <w:rPr>
                <w:b w:val="0"/>
                <w:i w:val="0"/>
                <w:color w:val="595959"/>
                <w:sz w:val="15"/>
              </w:rPr>
              <w:t>Semanas 27 a 33</w:t>
            </w:r>
          </w:p>
        </w:tc>
        <w:tc>
          <w:tcPr>
            <w:tcW w:type="dxa" w:w="1134"/>
          </w:tcPr>
          <w:p>
            <w:r/>
            <w:r>
              <w:rPr>
                <w:b/>
                <w:i w:val="0"/>
                <w:sz w:val="15"/>
              </w:rPr>
              <w:t>OA 7, OA 8</w:t>
            </w:r>
          </w:p>
          <w:p>
            <w:r>
              <w:rPr>
                <w:b w:val="0"/>
                <w:i w:val="0"/>
                <w:color w:val="595959"/>
                <w:sz w:val="14"/>
              </w:rPr>
              <w:t>(texto en Anexo G)</w:t>
            </w:r>
          </w:p>
          <w:p>
            <w:r>
              <w:rPr>
                <w:b w:val="0"/>
                <w:i w:val="0"/>
                <w:sz w:val="14"/>
              </w:rPr>
              <w:t>Evaluados en los ejemplos del Programa:</w:t>
            </w:r>
          </w:p>
          <w:p>
            <w:r>
              <w:rPr>
                <w:b/>
                <w:i w:val="0"/>
                <w:sz w:val="15"/>
              </w:rPr>
              <w:t>OA 7, OA 8</w:t>
            </w:r>
          </w:p>
        </w:tc>
        <w:tc>
          <w:tcPr>
            <w:tcW w:type="dxa" w:w="2438"/>
          </w:tcPr>
          <w:p>
            <w:r/>
            <w:r>
              <w:rPr>
                <w:b/>
                <w:i w:val="0"/>
                <w:sz w:val="15"/>
              </w:rPr>
              <w:t>Palabras clave</w:t>
            </w:r>
          </w:p>
          <w:p>
            <w:pPr>
              <w:pStyle w:val="ListBullet"/>
              <w:spacing w:after="20"/>
              <w:ind w:left="198" w:hanging="170"/>
            </w:pPr>
            <w:r>
              <w:rPr>
                <w:b w:val="0"/>
                <w:i w:val="0"/>
                <w:sz w:val="15"/>
              </w:rPr>
              <w:t>Comunidad, pertenencia, metas compartidas, trabajo en equipo, espacios de participación escolar, formas democráticas de participación y toma de decisiones: debate, diálogo, elección de representantes, deliberación. PERTENENCIA Y PARTICIPACIÓN DEMOCRÁTICA</w:t>
            </w:r>
          </w:p>
        </w:tc>
        <w:tc>
          <w:tcPr>
            <w:tcW w:type="dxa" w:w="7087"/>
          </w:tcPr>
          <w:p>
            <w:r/>
            <w:r>
              <w:rPr>
                <w:b/>
                <w:i w:val="0"/>
                <w:sz w:val="15"/>
              </w:rPr>
              <w:t>Evaluación 1 (OA 7) · pág. 130</w:t>
            </w:r>
          </w:p>
          <w:p>
            <w:pPr>
              <w:pStyle w:val="ListBullet"/>
              <w:spacing w:after="20"/>
              <w:ind w:left="198" w:hanging="170"/>
            </w:pPr>
            <w:r>
              <w:rPr>
                <w:b w:val="0"/>
                <w:i w:val="0"/>
                <w:sz w:val="15"/>
              </w:rPr>
              <w:t>Analizan la manera en que determinadas condiciones de su entorno próximo resultan coherentes o se distancian de principios tales como el respeto por la dignidad, la inclusión, el bien común, la justicia y la democracia.</w:t>
            </w:r>
          </w:p>
          <w:p>
            <w:pPr>
              <w:pStyle w:val="ListBullet"/>
              <w:spacing w:after="20"/>
              <w:ind w:left="198" w:hanging="170"/>
            </w:pPr>
            <w:r>
              <w:rPr>
                <w:b w:val="0"/>
                <w:i w:val="0"/>
                <w:sz w:val="15"/>
              </w:rPr>
              <w:t>Identifican las situaciones en que pueden contribuir individual o colectivamente a la resolución de problemáticas de su entorno, basándose en un enfoque de derecho.</w:t>
            </w:r>
          </w:p>
          <w:p>
            <w:pPr>
              <w:pStyle w:val="ListBullet"/>
              <w:spacing w:after="20"/>
              <w:ind w:left="198" w:hanging="170"/>
            </w:pPr>
            <w:r>
              <w:rPr>
                <w:b w:val="0"/>
                <w:i w:val="0"/>
                <w:sz w:val="15"/>
              </w:rPr>
              <w:t>Discriminan propósitos efectivamente logrados de aquellos por lograr como resultado de las decisiones tomadas en instancias de participación en el curso, establecimiento o barrio.</w:t>
            </w:r>
          </w:p>
          <w:p>
            <w:pPr>
              <w:pStyle w:val="ListBullet"/>
              <w:spacing w:after="20"/>
              <w:ind w:left="198" w:hanging="170"/>
            </w:pPr>
            <w:r>
              <w:rPr>
                <w:b w:val="0"/>
                <w:i w:val="0"/>
                <w:sz w:val="15"/>
              </w:rPr>
              <w:t>Discriminan entre aspectos que se ajustan y otros que se distancian de la convivencia democrática en los espacios de toma de decisiones a nivel del curso, la escuela y el barrio.</w:t>
            </w:r>
          </w:p>
          <w:p>
            <w:pPr>
              <w:pStyle w:val="ListBullet"/>
              <w:spacing w:after="20"/>
              <w:ind w:left="198" w:hanging="170"/>
            </w:pPr>
            <w:r>
              <w:rPr>
                <w:b w:val="0"/>
                <w:i w:val="0"/>
                <w:sz w:val="15"/>
              </w:rPr>
              <w:t>Categorizan las situaciones que pueden ser atendidas por las instancias de participación colectiva de su entorno, en función de su relevancia para favorecer el respeto por la dignidad, la diversidad, el bien común, la justicia y la inclusión.</w:t>
            </w:r>
          </w:p>
          <w:p>
            <w:r>
              <w:rPr>
                <w:b/>
                <w:i w:val="0"/>
                <w:sz w:val="15"/>
              </w:rPr>
              <w:t>Evaluación 2 (OA 8) · pág. 132</w:t>
            </w:r>
          </w:p>
          <w:p>
            <w:pPr>
              <w:pStyle w:val="ListBullet"/>
              <w:spacing w:after="20"/>
              <w:ind w:left="198" w:hanging="170"/>
            </w:pPr>
            <w:r>
              <w:rPr>
                <w:b w:val="0"/>
                <w:i w:val="0"/>
                <w:sz w:val="15"/>
              </w:rPr>
              <w:t>Planifican acciones orientadas a promover el bien común, el buen trato, el respeto, la justicia y las relaciones pacíficas estableciendo objetivos y acciones para lograrlos.</w:t>
            </w:r>
          </w:p>
          <w:p>
            <w:pPr>
              <w:pStyle w:val="ListBullet"/>
              <w:spacing w:after="20"/>
              <w:ind w:left="198" w:hanging="170"/>
            </w:pPr>
            <w:r>
              <w:rPr>
                <w:b w:val="0"/>
                <w:i w:val="0"/>
                <w:sz w:val="15"/>
              </w:rPr>
              <w:t>Contribuyen en instancias de participación dentro del curso o de la comunidad escolar debatiendo sobre acciones para desarrollar mejoras a través del diálogo, la argumentación y respetando la diversidad de opiniones.</w:t>
            </w:r>
          </w:p>
          <w:p>
            <w:pPr>
              <w:pStyle w:val="ListBullet"/>
              <w:spacing w:after="20"/>
              <w:ind w:left="198" w:hanging="170"/>
            </w:pPr>
            <w:r>
              <w:rPr>
                <w:b w:val="0"/>
                <w:i w:val="0"/>
                <w:sz w:val="15"/>
              </w:rPr>
              <w:t>Participan activamente en la toma de decisiones en su curso, resolviendo diferencias de manera democrática.</w:t>
            </w:r>
          </w:p>
          <w:p>
            <w:pPr>
              <w:pStyle w:val="ListBullet"/>
              <w:spacing w:after="20"/>
              <w:ind w:left="198" w:hanging="170"/>
            </w:pPr>
            <w:r>
              <w:rPr>
                <w:b w:val="0"/>
                <w:i w:val="0"/>
                <w:sz w:val="15"/>
              </w:rPr>
              <w:t>Llevan a cabo las tareas o acciones acordadas con el curso, buscando soluciones ante los problemas que pueden surgir en el desarrollo de estas.</w:t>
            </w:r>
          </w:p>
          <w:p>
            <w:pPr>
              <w:pStyle w:val="ListBullet"/>
              <w:spacing w:after="20"/>
              <w:ind w:left="198" w:hanging="170"/>
            </w:pPr>
            <w:r>
              <w:rPr>
                <w:b w:val="0"/>
                <w:i w:val="0"/>
                <w:sz w:val="15"/>
              </w:rPr>
              <w:t>Evalúan el desarrollo de las iniciativas llevadas a cabo identificando logros alcanzados y aspectos por lograr.</w:t>
            </w:r>
          </w:p>
        </w:tc>
        <w:tc>
          <w:tcPr>
            <w:tcW w:type="dxa" w:w="1871"/>
          </w:tcPr>
          <w:p>
            <w:r/>
            <w:r>
              <w:rPr>
                <w:b/>
                <w:i w:val="0"/>
                <w:sz w:val="15"/>
              </w:rPr>
              <w:t xml:space="preserve">Formativa. </w:t>
            </w:r>
            <w:r>
              <w:rPr>
                <w:b/>
                <w:i/>
                <w:color w:val="595959"/>
                <w:sz w:val="15"/>
              </w:rPr>
              <w:t xml:space="preserve">Sugerencia — revisar: </w:t>
            </w:r>
            <w:r>
              <w:rPr>
                <w:b w:val="0"/>
                <w:i/>
                <w:color w:val="595959"/>
                <w:sz w:val="15"/>
              </w:rPr>
              <w:t>Proyecto de participación en el curso o el liceo con lista de cotejo; evaluación del consejo de curso.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Se propone desarrollar esta evaluación al completar la actividad 3 “Todos somos sujetos de respeto”, del OA 7, cuyo propósito es que alumnos y alumnas entiendan la importancia de llevar una convivencia amparada en el respeto para el desarrollo de una comunidad sana que promueve el buen trato. (pág. 130)</w:t>
            </w:r>
          </w:p>
          <w:p>
            <w:pPr>
              <w:pStyle w:val="ListBullet"/>
              <w:spacing w:after="20"/>
              <w:ind w:left="198" w:hanging="170"/>
            </w:pPr>
            <w:r>
              <w:rPr>
                <w:b/>
                <w:i w:val="0"/>
                <w:sz w:val="15"/>
              </w:rPr>
              <w:t xml:space="preserve">Evaluación 2: </w:t>
            </w:r>
            <w:r>
              <w:rPr>
                <w:b w:val="0"/>
                <w:i w:val="0"/>
                <w:sz w:val="15"/>
              </w:rPr>
              <w:t>Esta sugerencia de evaluación se recomienda para dar cuenta de los aprendizajes vinculados con el OA 8, por lo que se sugiere su aplicación después de desarrollar las actividades vinculadas con dicho OA. (pág. 132)</w:t>
            </w:r>
          </w:p>
        </w:tc>
        <w:tc>
          <w:tcPr>
            <w:tcW w:type="dxa" w:w="1247"/>
          </w:tcPr>
          <w:p>
            <w:r/>
            <w:r>
              <w:rPr>
                <w:b/>
                <w:i/>
                <w:color w:val="595959"/>
                <w:sz w:val="15"/>
              </w:rPr>
              <w:t xml:space="preserve">Sugerencia — revisar: </w:t>
            </w:r>
            <w:r>
              <w:rPr>
                <w:b w:val="0"/>
                <w:i/>
                <w:color w:val="595959"/>
                <w:sz w:val="15"/>
              </w:rPr>
              <w:t>Reglamento del centro de estudiantes; información de organizaciones juveniles de la comuna o la región.</w:t>
            </w:r>
          </w:p>
        </w:tc>
      </w:tr>
      <w:tr>
        <w:tc>
          <w:tcPr>
            <w:tcW w:type="dxa" w:w="1757"/>
          </w:tcPr>
          <w:p>
            <w:r/>
            <w:r>
              <w:rPr>
                <w:b/>
                <w:i w:val="0"/>
                <w:sz w:val="16"/>
              </w:rPr>
              <w:t>Unidad 5</w:t>
            </w:r>
          </w:p>
          <w:p>
            <w:r>
              <w:rPr>
                <w:b/>
                <w:i w:val="0"/>
                <w:sz w:val="16"/>
              </w:rPr>
              <w:t>Gestión y proyección del aprendizaje</w:t>
            </w:r>
          </w:p>
          <w:p>
            <w:r>
              <w:rPr>
                <w:b w:val="0"/>
                <w:i w:val="0"/>
                <w:sz w:val="15"/>
              </w:rPr>
              <w:t>Esta unidad promueve que las y los estudiantes desarrollen de manera progresiva una relación con el proceso de aprendizaje que se caracterice por dos aspectos básicos.</w:t>
            </w:r>
          </w:p>
          <w:p>
            <w:r>
              <w:rPr>
                <w:b w:val="0"/>
                <w:i w:val="0"/>
                <w:color w:val="595959"/>
                <w:sz w:val="14"/>
              </w:rPr>
              <w:t>Programa, págs. 135–148</w:t>
            </w:r>
          </w:p>
        </w:tc>
        <w:tc>
          <w:tcPr>
            <w:tcW w:type="dxa" w:w="1134"/>
          </w:tcPr>
          <w:p>
            <w:r/>
            <w:r>
              <w:rPr>
                <w:b/>
                <w:i w:val="0"/>
                <w:sz w:val="15"/>
              </w:rPr>
              <w:t>Semestre 2</w:t>
            </w:r>
          </w:p>
          <w:p>
            <w:r>
              <w:rPr>
                <w:b w:val="0"/>
                <w:i w:val="0"/>
                <w:sz w:val="15"/>
              </w:rPr>
              <w:t>6 h pedagógicas</w:t>
            </w:r>
          </w:p>
          <w:p>
            <w:r>
              <w:rPr>
                <w:b w:val="0"/>
                <w:i w:val="0"/>
                <w:color w:val="595959"/>
                <w:sz w:val="15"/>
              </w:rPr>
              <w:t>Semanas 34 a 38</w:t>
            </w:r>
          </w:p>
        </w:tc>
        <w:tc>
          <w:tcPr>
            <w:tcW w:type="dxa" w:w="1134"/>
          </w:tcPr>
          <w:p>
            <w:r/>
            <w:r>
              <w:rPr>
                <w:b/>
                <w:i w:val="0"/>
                <w:sz w:val="15"/>
              </w:rPr>
              <w:t>OA 9, OA 10</w:t>
            </w:r>
          </w:p>
          <w:p>
            <w:r>
              <w:rPr>
                <w:b w:val="0"/>
                <w:i w:val="0"/>
                <w:color w:val="595959"/>
                <w:sz w:val="14"/>
              </w:rPr>
              <w:t>(texto en Anexo G)</w:t>
            </w:r>
          </w:p>
          <w:p>
            <w:r>
              <w:rPr>
                <w:b w:val="0"/>
                <w:i w:val="0"/>
                <w:sz w:val="14"/>
              </w:rPr>
              <w:t>Evaluados en los ejemplos del Programa:</w:t>
            </w:r>
          </w:p>
          <w:p>
            <w:r>
              <w:rPr>
                <w:b/>
                <w:i w:val="0"/>
                <w:sz w:val="15"/>
              </w:rPr>
              <w:t>OA 9, OA 10</w:t>
            </w:r>
          </w:p>
        </w:tc>
        <w:tc>
          <w:tcPr>
            <w:tcW w:type="dxa" w:w="2438"/>
          </w:tcPr>
          <w:p>
            <w:r/>
            <w:r>
              <w:rPr>
                <w:b/>
                <w:i w:val="0"/>
                <w:sz w:val="15"/>
              </w:rPr>
              <w:t>Palabras clave</w:t>
            </w:r>
          </w:p>
          <w:p>
            <w:pPr>
              <w:pStyle w:val="ListBullet"/>
              <w:spacing w:after="20"/>
              <w:ind w:left="198" w:hanging="170"/>
            </w:pPr>
            <w:r>
              <w:rPr>
                <w:b w:val="0"/>
                <w:i w:val="0"/>
                <w:sz w:val="15"/>
              </w:rPr>
              <w:t>Intereses, motivaciones, necesidades personales, proyectos personales, aprendizaje escolar, gestión del aprendizaje, establecimiento de metas, monitoreo de logros. GESTIÓN Y PROYECCIÓN DEL APRENDIZAJE</w:t>
            </w:r>
          </w:p>
        </w:tc>
        <w:tc>
          <w:tcPr>
            <w:tcW w:type="dxa" w:w="7087"/>
          </w:tcPr>
          <w:p>
            <w:r/>
            <w:r>
              <w:rPr>
                <w:b/>
                <w:i w:val="0"/>
                <w:sz w:val="15"/>
              </w:rPr>
              <w:t>Evaluación 1 (OA 9, OA 10) · pág. 147</w:t>
            </w:r>
          </w:p>
          <w:p>
            <w:pPr>
              <w:pStyle w:val="ListBullet"/>
              <w:spacing w:after="20"/>
              <w:ind w:left="198" w:hanging="170"/>
            </w:pPr>
            <w:r>
              <w:rPr>
                <w:b w:val="0"/>
                <w:i w:val="0"/>
                <w:sz w:val="15"/>
              </w:rPr>
              <w:t>Jerarquizan caminos posibles de desarrollo de sus habilidades e intereses, en diversos contextos laborales y académicos.</w:t>
            </w:r>
          </w:p>
          <w:p>
            <w:pPr>
              <w:pStyle w:val="ListBullet"/>
              <w:spacing w:after="20"/>
              <w:ind w:left="198" w:hanging="170"/>
            </w:pPr>
            <w:r>
              <w:rPr>
                <w:b w:val="0"/>
                <w:i w:val="0"/>
                <w:sz w:val="15"/>
              </w:rPr>
              <w:t>Identifican caminos alternativos para lograr sus metas frente a posibles obstáculos que dificulten el logro de estas.</w:t>
            </w:r>
          </w:p>
          <w:p>
            <w:pPr>
              <w:pStyle w:val="ListBullet"/>
              <w:spacing w:after="20"/>
              <w:ind w:left="198" w:hanging="170"/>
            </w:pPr>
            <w:r>
              <w:rPr>
                <w:b w:val="0"/>
                <w:i w:val="0"/>
                <w:sz w:val="15"/>
              </w:rPr>
              <w:t>Analizan alternativas de preparación personal en el ámbito vocacional que faciliten el logro de sus aspiraciones laborales o académicas.</w:t>
            </w:r>
          </w:p>
          <w:p>
            <w:pPr>
              <w:pStyle w:val="ListBullet"/>
              <w:spacing w:after="20"/>
              <w:ind w:left="198" w:hanging="170"/>
            </w:pPr>
            <w:r>
              <w:rPr>
                <w:b w:val="0"/>
                <w:i w:val="0"/>
                <w:sz w:val="15"/>
              </w:rPr>
              <w:t>Clarifican decisiones actuales que facilitan el desarrollo de sus habilidades e intereses.</w:t>
            </w:r>
          </w:p>
          <w:p>
            <w:pPr>
              <w:pStyle w:val="ListBullet"/>
              <w:spacing w:after="20"/>
              <w:ind w:left="198" w:hanging="170"/>
            </w:pPr>
            <w:r>
              <w:rPr>
                <w:b w:val="0"/>
                <w:i w:val="0"/>
                <w:sz w:val="15"/>
              </w:rPr>
              <w:t>Reconocen aspectos de su identidad que se proyectan en un futuro en opciones académicas o laborales.</w:t>
            </w:r>
          </w:p>
          <w:p>
            <w:pPr>
              <w:pStyle w:val="ListBullet"/>
              <w:spacing w:after="20"/>
              <w:ind w:left="198" w:hanging="170"/>
            </w:pPr>
            <w:r>
              <w:rPr>
                <w:b w:val="0"/>
                <w:i w:val="0"/>
                <w:sz w:val="15"/>
              </w:rPr>
              <w:t>Analizan elementos del entorno que ejercen influencia sobre sus metas laborales y académicas a futuro (influencia de contexto familiar, escolar u otros).</w:t>
            </w:r>
          </w:p>
          <w:p>
            <w:pPr>
              <w:pStyle w:val="ListBullet"/>
              <w:spacing w:after="20"/>
              <w:ind w:left="198" w:hanging="170"/>
            </w:pPr>
            <w:r>
              <w:rPr>
                <w:b w:val="0"/>
                <w:i w:val="0"/>
                <w:sz w:val="15"/>
              </w:rPr>
              <w:t>Identifican motivaciones, intereses y habilidades propias por considerar para construir posibles caminos de proyección laboral.</w:t>
            </w:r>
          </w:p>
          <w:p>
            <w:pPr>
              <w:pStyle w:val="ListBullet"/>
              <w:spacing w:after="20"/>
              <w:ind w:left="198" w:hanging="170"/>
            </w:pPr>
            <w:r>
              <w:rPr>
                <w:b w:val="0"/>
                <w:i w:val="0"/>
                <w:sz w:val="15"/>
              </w:rPr>
              <w:t>Determinan los esfuerzos personales por desarrollar que son necesarios para la consecución de sus metas.</w:t>
            </w:r>
          </w:p>
          <w:p>
            <w:pPr>
              <w:pStyle w:val="ListBullet"/>
              <w:spacing w:after="20"/>
              <w:ind w:left="198" w:hanging="170"/>
            </w:pPr>
            <w:r>
              <w:rPr>
                <w:b w:val="0"/>
                <w:i w:val="0"/>
                <w:sz w:val="15"/>
              </w:rPr>
              <w:t>Elaboran un plan de desarrollo personal y académico que consolidaría la consecución de sus metas.</w:t>
            </w:r>
          </w:p>
        </w:tc>
        <w:tc>
          <w:tcPr>
            <w:tcW w:type="dxa" w:w="1871"/>
          </w:tcPr>
          <w:p>
            <w:r/>
            <w:r>
              <w:rPr>
                <w:b/>
                <w:i w:val="0"/>
                <w:sz w:val="15"/>
              </w:rPr>
              <w:t xml:space="preserve">Formativa. </w:t>
            </w:r>
            <w:r>
              <w:rPr>
                <w:b/>
                <w:i/>
                <w:color w:val="595959"/>
                <w:sz w:val="15"/>
              </w:rPr>
              <w:t xml:space="preserve">Sugerencia — revisar: </w:t>
            </w:r>
            <w:r>
              <w:rPr>
                <w:b w:val="0"/>
                <w:i/>
                <w:color w:val="595959"/>
                <w:sz w:val="15"/>
              </w:rPr>
              <w:t>Planificación de metas de estudio con seguimiento; autoevaluación de hábitos.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La siguiente actividad se sugiere a modo de síntesis y evaluación de la unidad 5. Se le pedirá a cada estudiante que elabore su propia Ficha vocacional, a modo de resumen de los aprendizajes obtenidos durante las actividades anteriores. (pág. 147)</w:t>
            </w:r>
          </w:p>
        </w:tc>
        <w:tc>
          <w:tcPr>
            <w:tcW w:type="dxa" w:w="1247"/>
          </w:tcPr>
          <w:p>
            <w:r/>
            <w:r>
              <w:rPr>
                <w:b/>
                <w:i/>
                <w:color w:val="595959"/>
                <w:sz w:val="15"/>
              </w:rPr>
              <w:t xml:space="preserve">Sugerencia — revisar: </w:t>
            </w:r>
            <w:r>
              <w:rPr>
                <w:b w:val="0"/>
                <w:i/>
                <w:color w:val="595959"/>
                <w:sz w:val="15"/>
              </w:rPr>
              <w:t>Técnicas de estudio; información sobre educación superior y oferta técnico-profesional de la región.</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Usar casos, videos, testimonios y lecturas breves cercanas a la realidad de los estudiantes.</w:t>
            </w:r>
          </w:p>
          <w:p>
            <w:r>
              <w:rPr>
                <w:b/>
                <w:i w:val="0"/>
                <w:sz w:val="18"/>
              </w:rPr>
              <w:t xml:space="preserve">Múltiples formas de acción y expresión: </w:t>
            </w:r>
            <w:r>
              <w:rPr>
                <w:b/>
                <w:i/>
                <w:color w:val="595959"/>
                <w:sz w:val="18"/>
              </w:rPr>
              <w:t xml:space="preserve">Sugerencia — revisar: </w:t>
            </w:r>
            <w:r>
              <w:rPr>
                <w:b w:val="0"/>
                <w:i/>
                <w:color w:val="595959"/>
                <w:sz w:val="18"/>
              </w:rPr>
              <w:t>Permitir expresarse de forma oral, escrita, gráfica o anónima, según la temática.</w:t>
            </w:r>
          </w:p>
          <w:p>
            <w:r>
              <w:rPr>
                <w:b/>
                <w:i w:val="0"/>
                <w:sz w:val="18"/>
              </w:rPr>
              <w:t xml:space="preserve">Múltiples formas de implicación: </w:t>
            </w:r>
            <w:r>
              <w:rPr>
                <w:b/>
                <w:i/>
                <w:color w:val="595959"/>
                <w:sz w:val="18"/>
              </w:rPr>
              <w:t xml:space="preserve">Sugerencia — revisar: </w:t>
            </w:r>
            <w:r>
              <w:rPr>
                <w:b w:val="0"/>
                <w:i/>
                <w:color w:val="595959"/>
                <w:sz w:val="18"/>
              </w:rPr>
              <w:t>Generar un clima de confianza con acuerdos de convivencia y temas propuestos por el curso.</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EJE CRECIMIENTO PERSONAL</w:t>
            </w:r>
          </w:p>
        </w:tc>
      </w:tr>
      <w:tr>
        <w:trPr>
          <w:cantSplit/>
        </w:trPr>
        <w:tc>
          <w:tcPr>
            <w:tcW w:type="dxa" w:w="1701"/>
          </w:tcPr>
          <w:p>
            <w:r>
              <w:rPr>
                <w:b/>
                <w:i w:val="0"/>
                <w:sz w:val="18"/>
              </w:rPr>
              <w:t>OA 1</w:t>
            </w:r>
          </w:p>
          <w:p>
            <w:r>
              <w:rPr>
                <w:b w:val="0"/>
                <w:i w:val="0"/>
                <w:color w:val="595959"/>
                <w:sz w:val="14"/>
              </w:rPr>
              <w:t>(B 364 · P 50)</w:t>
            </w:r>
          </w:p>
        </w:tc>
        <w:tc>
          <w:tcPr>
            <w:tcW w:type="dxa" w:w="14967"/>
          </w:tcPr>
          <w:p>
            <w:r>
              <w:rPr>
                <w:b w:val="0"/>
                <w:i w:val="0"/>
                <w:sz w:val="18"/>
              </w:rPr>
              <w:t>Comparar distintas alternativas posibles de sus proyectos de vida, en los ámbitos laboral, familiar u otros, considerando sus intereses, condiciones, capacidades y la manera en que las propias decisiones y experiencias pueden influir en que estas alternativas se hagan realidad.</w:t>
            </w:r>
          </w:p>
        </w:tc>
      </w:tr>
      <w:tr>
        <w:trPr>
          <w:cantSplit/>
        </w:trPr>
        <w:tc>
          <w:tcPr>
            <w:tcW w:type="dxa" w:w="1701"/>
          </w:tcPr>
          <w:p>
            <w:r>
              <w:rPr>
                <w:b/>
                <w:i w:val="0"/>
                <w:sz w:val="18"/>
              </w:rPr>
              <w:t>OA 2</w:t>
            </w:r>
          </w:p>
          <w:p>
            <w:r>
              <w:rPr>
                <w:b w:val="0"/>
                <w:i w:val="0"/>
                <w:color w:val="595959"/>
                <w:sz w:val="14"/>
              </w:rPr>
              <w:t>(B 364 · P 50)</w:t>
            </w:r>
          </w:p>
        </w:tc>
        <w:tc>
          <w:tcPr>
            <w:tcW w:type="dxa" w:w="14967"/>
          </w:tcPr>
          <w:p>
            <w:r>
              <w:rPr>
                <w:b w:val="0"/>
                <w:i w:val="0"/>
                <w:sz w:val="18"/>
              </w:rPr>
              <w:t>Analizar de manera fundamentada temáticas y situaciones relacionadas con la sexualidad y los vínculos afectivos, en función de valores como el respeto hacia todo ser humano, la responsabilidad y el cuidado de sí mismos y de los demás, considerando el resg uardo de la salud, la intimidad, la integridad física y emocional.</w:t>
            </w:r>
          </w:p>
        </w:tc>
      </w:tr>
      <w:tr>
        <w:tc>
          <w:tcPr>
            <w:tcW w:type="dxa" w:w="16668"/>
            <w:gridSpan w:val="2"/>
          </w:tcPr>
          <w:p>
            <w:r/>
            <w:r>
              <w:rPr>
                <w:b/>
                <w:i w:val="0"/>
                <w:sz w:val="18"/>
              </w:rPr>
              <w:t>EJE BIENESTAR Y AUTOCUIDADO</w:t>
            </w:r>
          </w:p>
        </w:tc>
      </w:tr>
      <w:tr>
        <w:trPr>
          <w:cantSplit/>
        </w:trPr>
        <w:tc>
          <w:tcPr>
            <w:tcW w:type="dxa" w:w="1701"/>
          </w:tcPr>
          <w:p>
            <w:r>
              <w:rPr>
                <w:b/>
                <w:i w:val="0"/>
                <w:sz w:val="18"/>
              </w:rPr>
              <w:t>OA 3</w:t>
            </w:r>
          </w:p>
          <w:p>
            <w:r>
              <w:rPr>
                <w:b w:val="0"/>
                <w:i w:val="0"/>
                <w:color w:val="595959"/>
                <w:sz w:val="14"/>
              </w:rPr>
              <w:t>(B 364 · P 50)</w:t>
            </w:r>
          </w:p>
        </w:tc>
        <w:tc>
          <w:tcPr>
            <w:tcW w:type="dxa" w:w="14967"/>
          </w:tcPr>
          <w:p>
            <w:r>
              <w:rPr>
                <w:b w:val="0"/>
                <w:i w:val="0"/>
                <w:sz w:val="18"/>
              </w:rPr>
              <w:t>Evaluar, en sí mismos y en su entorno, situaciones problemáticas y/o de riesgos relacionadas con el consumo de sustancias, conductas sexuales riesgosas y la violencia, entre otros, e identificar y recurrir a redes de apoyo a las que pueden pedir ayuda, como familia, profesores, instituciones de salud, centros comunitarios y fonos y páginas web especializadas, entre otras.</w:t>
            </w:r>
          </w:p>
        </w:tc>
      </w:tr>
      <w:tr>
        <w:trPr>
          <w:cantSplit/>
        </w:trPr>
        <w:tc>
          <w:tcPr>
            <w:tcW w:type="dxa" w:w="1701"/>
          </w:tcPr>
          <w:p>
            <w:r>
              <w:rPr>
                <w:b/>
                <w:i w:val="0"/>
                <w:sz w:val="18"/>
              </w:rPr>
              <w:t>OA 4</w:t>
            </w:r>
          </w:p>
          <w:p>
            <w:r>
              <w:rPr>
                <w:b w:val="0"/>
                <w:i w:val="0"/>
                <w:color w:val="595959"/>
                <w:sz w:val="14"/>
              </w:rPr>
              <w:t>(B 364 · P 50)</w:t>
            </w:r>
          </w:p>
        </w:tc>
        <w:tc>
          <w:tcPr>
            <w:tcW w:type="dxa" w:w="14967"/>
          </w:tcPr>
          <w:p>
            <w:r>
              <w:rPr>
                <w:b w:val="0"/>
                <w:i w:val="0"/>
                <w:sz w:val="18"/>
              </w:rPr>
              <w:t>Promover y llevar a cabo de manera autónoma acciones que favorezcan la vida saludable a nivel personal y social, manifestando interés y preocupación ante problemas y situaciones de su entorno y de sus vidas (cuidado de la alimentación, manejo adecuado del estrés, uso positivo del tiempo de ocio, prevención de riesgos y seguridad personal en situaciones cotidianas, entre otros).</w:t>
            </w:r>
          </w:p>
        </w:tc>
      </w:tr>
      <w:tr>
        <w:tc>
          <w:tcPr>
            <w:tcW w:type="dxa" w:w="16668"/>
            <w:gridSpan w:val="2"/>
          </w:tcPr>
          <w:p>
            <w:r/>
            <w:r>
              <w:rPr>
                <w:b/>
                <w:i w:val="0"/>
                <w:sz w:val="18"/>
              </w:rPr>
              <w:t>EJE RELACIONES INTERPERSONALES</w:t>
            </w:r>
          </w:p>
        </w:tc>
      </w:tr>
      <w:tr>
        <w:trPr>
          <w:cantSplit/>
        </w:trPr>
        <w:tc>
          <w:tcPr>
            <w:tcW w:type="dxa" w:w="1701"/>
          </w:tcPr>
          <w:p>
            <w:r>
              <w:rPr>
                <w:b/>
                <w:i w:val="0"/>
                <w:sz w:val="18"/>
              </w:rPr>
              <w:t>OA 5</w:t>
            </w:r>
          </w:p>
          <w:p>
            <w:r>
              <w:rPr>
                <w:b w:val="0"/>
                <w:i w:val="0"/>
                <w:color w:val="595959"/>
                <w:sz w:val="14"/>
              </w:rPr>
              <w:t>(B 364 · P 51)</w:t>
            </w:r>
          </w:p>
        </w:tc>
        <w:tc>
          <w:tcPr>
            <w:tcW w:type="dxa" w:w="14967"/>
          </w:tcPr>
          <w:p>
            <w:r>
              <w:rPr>
                <w:b w:val="0"/>
                <w:i w:val="0"/>
                <w:sz w:val="18"/>
              </w:rPr>
              <w:t>Promover en su entorno relaciones interpersonales constructivas, sean estas presenciales o por medio de las redes sociales, sobre la base del análisis de situaciones, considerando los derechos de las personas acorde a los principios de igualdad, dignidad, inclusión y no discriminación.</w:t>
            </w:r>
          </w:p>
        </w:tc>
      </w:tr>
      <w:tr>
        <w:trPr>
          <w:cantSplit/>
        </w:trPr>
        <w:tc>
          <w:tcPr>
            <w:tcW w:type="dxa" w:w="1701"/>
          </w:tcPr>
          <w:p>
            <w:r>
              <w:rPr>
                <w:b/>
                <w:i w:val="0"/>
                <w:sz w:val="18"/>
              </w:rPr>
              <w:t>OA 6</w:t>
            </w:r>
          </w:p>
          <w:p>
            <w:r>
              <w:rPr>
                <w:b w:val="0"/>
                <w:i w:val="0"/>
                <w:color w:val="595959"/>
                <w:sz w:val="14"/>
              </w:rPr>
              <w:t>(B 364 · P 51)</w:t>
            </w:r>
          </w:p>
        </w:tc>
        <w:tc>
          <w:tcPr>
            <w:tcW w:type="dxa" w:w="14967"/>
          </w:tcPr>
          <w:p>
            <w:r>
              <w:rPr>
                <w:b w:val="0"/>
                <w:i w:val="0"/>
                <w:sz w:val="18"/>
              </w:rPr>
              <w:t>Discriminar alternativas para la resolución de conflictos en un marco de derechos que promueva la búsqueda de acuerdos que beneficien a las partes involucradas y que impliquen el compromiso recíproco.</w:t>
            </w:r>
          </w:p>
        </w:tc>
      </w:tr>
      <w:tr>
        <w:tc>
          <w:tcPr>
            <w:tcW w:type="dxa" w:w="16668"/>
            <w:gridSpan w:val="2"/>
          </w:tcPr>
          <w:p>
            <w:r/>
            <w:r>
              <w:rPr>
                <w:b/>
                <w:i w:val="0"/>
                <w:sz w:val="18"/>
              </w:rPr>
              <w:t>EJE PERTENENCIA Y PARTICIPACIÓN DEMOCRÁTICA</w:t>
            </w:r>
          </w:p>
        </w:tc>
      </w:tr>
      <w:tr>
        <w:trPr>
          <w:cantSplit/>
        </w:trPr>
        <w:tc>
          <w:tcPr>
            <w:tcW w:type="dxa" w:w="1701"/>
          </w:tcPr>
          <w:p>
            <w:r>
              <w:rPr>
                <w:b/>
                <w:i w:val="0"/>
                <w:sz w:val="18"/>
              </w:rPr>
              <w:t>OA 7</w:t>
            </w:r>
          </w:p>
          <w:p>
            <w:r>
              <w:rPr>
                <w:b w:val="0"/>
                <w:i w:val="0"/>
                <w:color w:val="595959"/>
                <w:sz w:val="14"/>
              </w:rPr>
              <w:t>(B 365 · P 51)</w:t>
            </w:r>
          </w:p>
        </w:tc>
        <w:tc>
          <w:tcPr>
            <w:tcW w:type="dxa" w:w="14967"/>
          </w:tcPr>
          <w:p>
            <w:r>
              <w:rPr>
                <w:b w:val="0"/>
                <w:i w:val="0"/>
                <w:sz w:val="18"/>
              </w:rPr>
              <w:t>Evaluar en su entorno social e institucional cercano, como curso, establecimiento, barrio u otro, instancias en las que puedan participar o contribuir a la resolución de problemáticas a partir del reconocimiento de sí mismos y de los demás como sujetos de derecho, considerando aspectos como el respeto por la dignidad, la diversidad, la equidad de género, la inclusión, la participación democrática, la justicia y el bienestar.</w:t>
            </w:r>
          </w:p>
        </w:tc>
      </w:tr>
      <w:tr>
        <w:trPr>
          <w:cantSplit/>
        </w:trPr>
        <w:tc>
          <w:tcPr>
            <w:tcW w:type="dxa" w:w="1701"/>
          </w:tcPr>
          <w:p>
            <w:r>
              <w:rPr>
                <w:b/>
                <w:i w:val="0"/>
                <w:sz w:val="18"/>
              </w:rPr>
              <w:t>OA 8</w:t>
            </w:r>
          </w:p>
          <w:p>
            <w:r>
              <w:rPr>
                <w:b w:val="0"/>
                <w:i w:val="0"/>
                <w:color w:val="595959"/>
                <w:sz w:val="14"/>
              </w:rPr>
              <w:t>(B 365 · P 51)</w:t>
            </w:r>
          </w:p>
        </w:tc>
        <w:tc>
          <w:tcPr>
            <w:tcW w:type="dxa" w:w="14967"/>
          </w:tcPr>
          <w:p>
            <w:r>
              <w:rPr>
                <w:b w:val="0"/>
                <w:i w:val="0"/>
                <w:sz w:val="18"/>
              </w:rPr>
              <w:t>Desarrollar iniciativas orientadas a promover el respeto, la justicia, el buen trato, las relaciones pacíficas y el bien común en el propio curso y la comunidad escolar, participando en instancias colectivas, como el Consejo de curso, órganos de representación estudiantil u otros, de manera colaborativa y democrática, mediante el diálogo y el debate respetuoso ante la diversidad de opiniones.</w:t>
            </w:r>
          </w:p>
        </w:tc>
      </w:tr>
      <w:tr>
        <w:tc>
          <w:tcPr>
            <w:tcW w:type="dxa" w:w="16668"/>
            <w:gridSpan w:val="2"/>
          </w:tcPr>
          <w:p>
            <w:r/>
            <w:r>
              <w:rPr>
                <w:b/>
                <w:i w:val="0"/>
                <w:sz w:val="18"/>
              </w:rPr>
              <w:t>EJE GESTIÓN Y PROYECCIÓN DEL APRENDIZAJE</w:t>
            </w:r>
          </w:p>
        </w:tc>
      </w:tr>
      <w:tr>
        <w:trPr>
          <w:cantSplit/>
        </w:trPr>
        <w:tc>
          <w:tcPr>
            <w:tcW w:type="dxa" w:w="1701"/>
          </w:tcPr>
          <w:p>
            <w:r>
              <w:rPr>
                <w:b/>
                <w:i w:val="0"/>
                <w:sz w:val="18"/>
              </w:rPr>
              <w:t>OA 9</w:t>
            </w:r>
          </w:p>
          <w:p>
            <w:r>
              <w:rPr>
                <w:b w:val="0"/>
                <w:i w:val="0"/>
                <w:color w:val="595959"/>
                <w:sz w:val="14"/>
              </w:rPr>
              <w:t>(B 365 · P 52)</w:t>
            </w:r>
          </w:p>
        </w:tc>
        <w:tc>
          <w:tcPr>
            <w:tcW w:type="dxa" w:w="14967"/>
          </w:tcPr>
          <w:p>
            <w:r>
              <w:rPr>
                <w:b w:val="0"/>
                <w:i w:val="0"/>
                <w:sz w:val="18"/>
              </w:rPr>
              <w:t>Contrastar diversos posibles caminos a seguir en el desarrollo de sus proyectos de vida, tomando en cuenta distintas opciones laborales y académicas y reconociendo sus habilidades e intereses.</w:t>
            </w:r>
          </w:p>
        </w:tc>
      </w:tr>
      <w:tr>
        <w:trPr>
          <w:cantSplit/>
        </w:trPr>
        <w:tc>
          <w:tcPr>
            <w:tcW w:type="dxa" w:w="1701"/>
          </w:tcPr>
          <w:p>
            <w:r>
              <w:rPr>
                <w:b/>
                <w:i w:val="0"/>
                <w:sz w:val="18"/>
              </w:rPr>
              <w:t>OA 10</w:t>
            </w:r>
          </w:p>
          <w:p>
            <w:r>
              <w:rPr>
                <w:b w:val="0"/>
                <w:i w:val="0"/>
                <w:color w:val="595959"/>
                <w:sz w:val="14"/>
              </w:rPr>
              <w:t>(B 365 · P 52)</w:t>
            </w:r>
          </w:p>
        </w:tc>
        <w:tc>
          <w:tcPr>
            <w:tcW w:type="dxa" w:w="14967"/>
          </w:tcPr>
          <w:p>
            <w:r>
              <w:rPr>
                <w:b w:val="0"/>
                <w:i w:val="0"/>
                <w:sz w:val="18"/>
              </w:rPr>
              <w:t>Diseñar aspectos de sus posibles proyectos de vida considerando elementos como habilidades, motivaciones, metas personales, posibilidades y limitaciones, asumiendo el desafío de tomar decisiones coherentes con estos elementos y actuando, basándose en ellos, de manera perseverante y esforzada.</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Orientación 2° medio, Mineduc (Decreto Exento N° 1264/2016)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Orientación · 2° medio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Orientación · 2° medio</dc:title>
  <dc:subject/>
  <dc:creator/>
  <cp:keywords/>
  <dc:description>Generado el 2026-10-23 desde programa_orientacion_2medio.pdf (sha256 545e854bf7e7) con plantilla_anual.md v1.0.</dc:description>
  <cp:lastModifiedBy/>
  <cp:revision>1</cp:revision>
  <dcterms:created xsi:type="dcterms:W3CDTF">2013-12-23T23:15:00Z</dcterms:created>
  <dcterms:modified xsi:type="dcterms:W3CDTF">2013-12-23T23:15:00Z</dcterms:modified>
  <cp:category/>
</cp:coreProperties>
</file>