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Ciencias Naturales: Química · 2°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Ciencias Naturales: Química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2°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 · Ciencias Naturales tiene 6 h semanales; se asumen 2 h para el eje Química (reparto del establecimiento)</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el eje de Química de 2° medio, los estudiantes estudian las soluciones químicas, sus propiedades coligativas y la química orgánica, incluida la estereoquímica, desarrollando habilidades de investigación científica y de trabajo seguro en el laboratorio.</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Soluciones químicas</w:t>
            </w:r>
          </w:p>
        </w:tc>
        <w:tc>
          <w:tcPr>
            <w:tcW w:type="dxa" w:w="5329"/>
          </w:tcPr>
          <w:p>
            <w:pPr>
              <w:keepNext/>
            </w:pPr>
            <w:r>
              <w:rPr>
                <w:b w:val="0"/>
                <w:i w:val="0"/>
                <w:sz w:val="18"/>
              </w:rPr>
              <w:t>Semanas 1 a 11</w:t>
            </w:r>
          </w:p>
        </w:tc>
        <w:tc>
          <w:tcPr>
            <w:tcW w:type="dxa" w:w="2268"/>
          </w:tcPr>
          <w:p>
            <w:pPr>
              <w:keepNext/>
            </w:pPr>
            <w:r>
              <w:rPr>
                <w:b w:val="0"/>
                <w:i w:val="0"/>
                <w:sz w:val="18"/>
              </w:rPr>
              <w:t>≈ 9</w:t>
            </w:r>
          </w:p>
        </w:tc>
        <w:tc>
          <w:tcPr>
            <w:tcW w:type="dxa" w:w="2268"/>
          </w:tcPr>
          <w:p>
            <w:pPr>
              <w:keepNext/>
            </w:pPr>
            <w:r>
              <w:rPr>
                <w:b w:val="0"/>
                <w:i w:val="0"/>
                <w:sz w:val="18"/>
              </w:rPr>
              <w:t>18</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Propiedades coligativas de las soluciones</w:t>
            </w:r>
          </w:p>
        </w:tc>
        <w:tc>
          <w:tcPr>
            <w:tcW w:type="dxa" w:w="5329"/>
          </w:tcPr>
          <w:p>
            <w:pPr>
              <w:keepNext/>
            </w:pPr>
            <w:r>
              <w:rPr>
                <w:b w:val="0"/>
                <w:i w:val="0"/>
                <w:sz w:val="18"/>
              </w:rPr>
              <w:t>Semanas 12 a 19</w:t>
            </w:r>
          </w:p>
        </w:tc>
        <w:tc>
          <w:tcPr>
            <w:tcW w:type="dxa" w:w="2268"/>
          </w:tcPr>
          <w:p>
            <w:pPr>
              <w:keepNext/>
            </w:pPr>
            <w:r>
              <w:rPr>
                <w:b w:val="0"/>
                <w:i w:val="0"/>
                <w:sz w:val="18"/>
              </w:rPr>
              <w:t>≈ 7</w:t>
            </w:r>
          </w:p>
        </w:tc>
        <w:tc>
          <w:tcPr>
            <w:tcW w:type="dxa" w:w="2268"/>
          </w:tcPr>
          <w:p>
            <w:pPr>
              <w:keepNext/>
            </w:pPr>
            <w:r>
              <w:rPr>
                <w:b w:val="0"/>
                <w:i w:val="0"/>
                <w:sz w:val="18"/>
              </w:rPr>
              <w:t>14</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Química orgánica</w:t>
            </w:r>
          </w:p>
        </w:tc>
        <w:tc>
          <w:tcPr>
            <w:tcW w:type="dxa" w:w="5329"/>
          </w:tcPr>
          <w:p>
            <w:pPr>
              <w:keepNext/>
            </w:pPr>
            <w:r>
              <w:rPr>
                <w:b w:val="0"/>
                <w:i w:val="0"/>
                <w:sz w:val="18"/>
              </w:rPr>
              <w:t>Semanas 20 a 30</w:t>
            </w:r>
          </w:p>
        </w:tc>
        <w:tc>
          <w:tcPr>
            <w:tcW w:type="dxa" w:w="2268"/>
          </w:tcPr>
          <w:p>
            <w:pPr>
              <w:keepNext/>
            </w:pPr>
            <w:r>
              <w:rPr>
                <w:b w:val="0"/>
                <w:i w:val="0"/>
                <w:sz w:val="18"/>
              </w:rPr>
              <w:t>≈ 9</w:t>
            </w:r>
          </w:p>
        </w:tc>
        <w:tc>
          <w:tcPr>
            <w:tcW w:type="dxa" w:w="2268"/>
          </w:tcPr>
          <w:p>
            <w:pPr>
              <w:keepNext/>
            </w:pPr>
            <w:r>
              <w:rPr>
                <w:b w:val="0"/>
                <w:i w:val="0"/>
                <w:sz w:val="18"/>
              </w:rPr>
              <w:t>18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Química orgánica: estereoquímica e isomería</w:t>
            </w:r>
          </w:p>
        </w:tc>
        <w:tc>
          <w:tcPr>
            <w:tcW w:type="dxa" w:w="5329"/>
          </w:tcPr>
          <w:p>
            <w:pPr>
              <w:keepNext/>
            </w:pPr>
            <w:r>
              <w:rPr>
                <w:b w:val="0"/>
                <w:i w:val="0"/>
                <w:sz w:val="18"/>
              </w:rPr>
              <w:t>Semanas 31 a 38</w:t>
            </w:r>
          </w:p>
        </w:tc>
        <w:tc>
          <w:tcPr>
            <w:tcW w:type="dxa" w:w="2268"/>
          </w:tcPr>
          <w:p>
            <w:pPr>
              <w:keepNext/>
            </w:pPr>
            <w:r>
              <w:rPr>
                <w:b w:val="0"/>
                <w:i w:val="0"/>
                <w:sz w:val="18"/>
              </w:rPr>
              <w:t>≈ 7</w:t>
            </w:r>
          </w:p>
        </w:tc>
        <w:tc>
          <w:tcPr>
            <w:tcW w:type="dxa" w:w="2268"/>
          </w:tcPr>
          <w:p>
            <w:pPr>
              <w:keepNext/>
            </w:pPr>
            <w:r>
              <w:rPr>
                <w:b w:val="0"/>
                <w:i w:val="0"/>
                <w:sz w:val="18"/>
              </w:rPr>
              <w:t>14</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12</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«Organización curricular del eje Química» del Programa (pág. 298).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Soluciones químicas</w:t>
            </w:r>
          </w:p>
          <w:p>
            <w:r>
              <w:rPr>
                <w:b w:val="0"/>
                <w:i w:val="0"/>
                <w:sz w:val="15"/>
              </w:rPr>
              <w:t>Durante el desarrollo de esta unidad se pretende estudiar las características generales de las soluciones químicas, enfatizando el estudio de estas soluciones desde una óptica de análisis macroscópico y de orden cualitativo de las propiedades, para establecer las relaciones cuantitativas referidas al concepto, mediante el cálculo de la concentración en algunas de ellas.</w:t>
            </w:r>
          </w:p>
          <w:p>
            <w:r>
              <w:rPr>
                <w:b w:val="0"/>
                <w:i w:val="0"/>
                <w:color w:val="595959"/>
                <w:sz w:val="14"/>
              </w:rPr>
              <w:t>Programa, págs. 308–324</w:t>
            </w:r>
          </w:p>
        </w:tc>
        <w:tc>
          <w:tcPr>
            <w:tcW w:type="dxa" w:w="1134"/>
          </w:tcPr>
          <w:p>
            <w:r/>
            <w:r>
              <w:rPr>
                <w:b/>
                <w:i w:val="0"/>
                <w:sz w:val="15"/>
              </w:rPr>
              <w:t>Semestre 1</w:t>
            </w:r>
          </w:p>
          <w:p>
            <w:r>
              <w:rPr>
                <w:b w:val="0"/>
                <w:i w:val="0"/>
                <w:sz w:val="15"/>
              </w:rPr>
              <w:t>18 h pedagógicas</w:t>
            </w:r>
          </w:p>
          <w:p>
            <w:r>
              <w:rPr>
                <w:b w:val="0"/>
                <w:i w:val="0"/>
                <w:color w:val="595959"/>
                <w:sz w:val="15"/>
              </w:rPr>
              <w:t>Semanas 1 a 11</w:t>
            </w:r>
          </w:p>
        </w:tc>
        <w:tc>
          <w:tcPr>
            <w:tcW w:type="dxa" w:w="1134"/>
          </w:tcPr>
          <w:p>
            <w:r/>
            <w:r>
              <w:rPr>
                <w:b/>
                <w:i w:val="0"/>
                <w:sz w:val="15"/>
              </w:rPr>
              <w:t>OA 15</w:t>
            </w:r>
          </w:p>
          <w:p>
            <w:r>
              <w:rPr>
                <w:b w:val="0"/>
                <w:i w:val="0"/>
                <w:color w:val="595959"/>
                <w:sz w:val="14"/>
              </w:rPr>
              <w:t>(texto en Anexo G)</w:t>
            </w:r>
          </w:p>
          <w:p>
            <w:r>
              <w:rPr>
                <w:b w:val="0"/>
                <w:i w:val="0"/>
                <w:sz w:val="14"/>
              </w:rPr>
              <w:t>Evaluados en los ejemplos del Programa:</w:t>
            </w:r>
          </w:p>
          <w:p>
            <w:r>
              <w:rPr>
                <w:b/>
                <w:i w:val="0"/>
                <w:sz w:val="15"/>
              </w:rPr>
              <w:t>OA 15</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Formular y fundamentar hipótesis comprobables, basándose en conocimiento científico. (OA c)</w:t>
            </w:r>
          </w:p>
          <w:p>
            <w:pPr>
              <w:pStyle w:val="ListBullet"/>
              <w:spacing w:after="20"/>
              <w:ind w:left="198" w:hanging="170"/>
            </w:pPr>
            <w:r>
              <w:rPr>
                <w:b w:val="0"/>
                <w:i w:val="0"/>
                <w:sz w:val="15"/>
              </w:rPr>
              <w:t>Planificar diversos diseños de investigaciones experimentales que den respuesta a una pregunta y/o problema sobre la base de diversas fuentes de información científica, considerando:</w:t>
              <w:br/>
              <w:t>- El uso adecuado de instrumentos y materiales para asegurar la obtención de datos confiables.</w:t>
              <w:br/>
              <w:t>- La manipulación de variables y sus relaciones.</w:t>
              <w:br/>
              <w:t>- La explicación clara de procedimientos posibles de replicar. (OA d)</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datos cuantitativos y/o cualitativos con precisión, fundamentando su confiabilidad, y presentarlos en tablas, gráficos, modelos u otras representaciones, con la ayuda de las TIC. (OA h)</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Analizar y explicar los resultados de una investigación científica*, para plantear inferencias y conclusiones:</w:t>
              <w:br/>
              <w:t>- Comparando las relaciones, tendencias y patrones de las variables.</w:t>
              <w:br/>
              <w:t>- Usando expresiones y operaciones matemáticas cuando sea pertinente (por ejemplo: potencias, razones, funciones, notación científica, medidas de tendencia central, cambio porcentual).</w:t>
              <w:br/>
              <w:t>- Utilizando vocabulario disciplinar pertinente. (OA j)</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 (OA m)</w:t>
            </w:r>
          </w:p>
        </w:tc>
        <w:tc>
          <w:tcPr>
            <w:tcW w:type="dxa" w:w="2438"/>
          </w:tcPr>
          <w:p>
            <w:r/>
            <w:r>
              <w:rPr>
                <w:b/>
                <w:i w:val="0"/>
                <w:sz w:val="15"/>
              </w:rPr>
              <w:t>Conocimientos</w:t>
            </w:r>
          </w:p>
          <w:p>
            <w:pPr>
              <w:pStyle w:val="ListBullet"/>
              <w:spacing w:after="20"/>
              <w:ind w:left="198" w:hanging="170"/>
            </w:pPr>
            <w:r>
              <w:rPr>
                <w:b w:val="0"/>
                <w:i w:val="0"/>
                <w:sz w:val="15"/>
              </w:rPr>
              <w:t>Características de las soluciones según sus propiedades generales: estado físico, solubilidad, conductividad eléctrica.</w:t>
            </w:r>
          </w:p>
          <w:p>
            <w:pPr>
              <w:pStyle w:val="ListBullet"/>
              <w:spacing w:after="20"/>
              <w:ind w:left="198" w:hanging="170"/>
            </w:pPr>
            <w:r>
              <w:rPr>
                <w:b w:val="0"/>
                <w:i w:val="0"/>
                <w:sz w:val="15"/>
              </w:rPr>
              <w:t>Concentración de las soluciones, unidades de concentración de las soluciones.</w:t>
            </w:r>
          </w:p>
          <w:p>
            <w:pPr>
              <w:pStyle w:val="ListBullet"/>
              <w:spacing w:after="20"/>
              <w:ind w:left="198" w:hanging="170"/>
            </w:pPr>
            <w:r>
              <w:rPr>
                <w:b w:val="0"/>
                <w:i w:val="0"/>
                <w:sz w:val="15"/>
              </w:rPr>
              <w:t>Preparación de soluciones a concentraciones definidas.</w:t>
            </w:r>
          </w:p>
          <w:p>
            <w:pPr>
              <w:pStyle w:val="ListBullet"/>
              <w:spacing w:after="20"/>
              <w:ind w:left="198" w:hanging="170"/>
            </w:pPr>
            <w:r>
              <w:rPr>
                <w:b w:val="0"/>
                <w:i w:val="0"/>
                <w:sz w:val="15"/>
              </w:rPr>
              <w:t>Estequiometría de reacciones químicas en solución.</w:t>
            </w:r>
          </w:p>
          <w:p>
            <w:pPr>
              <w:pStyle w:val="ListBullet"/>
              <w:spacing w:after="20"/>
              <w:ind w:left="198" w:hanging="170"/>
            </w:pPr>
            <w:r>
              <w:rPr>
                <w:b w:val="0"/>
                <w:i w:val="0"/>
                <w:sz w:val="15"/>
              </w:rPr>
              <w:t>Aplicaciones tecnológicas de las soluciones químicas.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Solución, soluto, solvente, solubilidad, solución saturada, solución sobresaturada, solución insaturada, concentración, concentración molar, concentración molal, fracción molar, %m/m, %m/V, %V/V, conductividad eléctrica, dilución de soluciones. SOLUCIONES QUÍMICAS</w:t>
            </w:r>
          </w:p>
        </w:tc>
        <w:tc>
          <w:tcPr>
            <w:tcW w:type="dxa" w:w="3175"/>
          </w:tcPr>
          <w:p>
            <w:r/>
            <w:r>
              <w:rPr>
                <w:b/>
                <w:i w:val="0"/>
                <w:sz w:val="15"/>
              </w:rPr>
              <w:t>Evaluación 1 (OA 15) · pág. 318</w:t>
            </w:r>
          </w:p>
          <w:p>
            <w:pPr>
              <w:pStyle w:val="ListBullet"/>
              <w:spacing w:after="20"/>
              <w:ind w:left="198" w:hanging="170"/>
            </w:pPr>
            <w:r>
              <w:rPr>
                <w:b w:val="0"/>
                <w:i w:val="0"/>
                <w:sz w:val="15"/>
              </w:rPr>
              <w:t>Reconocen las características de las soluciones químicas en diferentes estados físicos en cuanto a sus componentes y propiedades.</w:t>
            </w:r>
          </w:p>
          <w:p>
            <w:pPr>
              <w:pStyle w:val="ListBullet"/>
              <w:spacing w:after="20"/>
              <w:ind w:left="198" w:hanging="170"/>
            </w:pPr>
            <w:r>
              <w:rPr>
                <w:b w:val="0"/>
                <w:i w:val="0"/>
                <w:sz w:val="15"/>
              </w:rPr>
              <w:t>Caracterizan los componentes de la solución como soluto y solvente mediante ejemplos del entorno y la vida cotidiana, considerando los cambios en la propiedad de la solución por influencia del soluto (conductividad, entre otros).</w:t>
            </w:r>
          </w:p>
          <w:p>
            <w:pPr>
              <w:pStyle w:val="ListBullet"/>
              <w:spacing w:after="20"/>
              <w:ind w:left="198" w:hanging="170"/>
            </w:pPr>
            <w:r>
              <w:rPr>
                <w:b w:val="0"/>
                <w:i w:val="0"/>
                <w:sz w:val="15"/>
              </w:rPr>
              <w:t>Establecen cantidad de soluto en la solución mediante cálculos de concentración en solución y en diluciones.</w:t>
            </w:r>
          </w:p>
          <w:p>
            <w:pPr>
              <w:pStyle w:val="ListBullet"/>
              <w:spacing w:after="20"/>
              <w:ind w:left="198" w:hanging="170"/>
            </w:pPr>
            <w:r>
              <w:rPr>
                <w:b w:val="0"/>
                <w:i w:val="0"/>
                <w:sz w:val="15"/>
              </w:rPr>
              <w:t>Evalúan la solubilidad en una solución mediante los factores que influyen sobre ella, como la temperatura.</w:t>
            </w:r>
          </w:p>
          <w:p>
            <w:pPr>
              <w:pStyle w:val="ListBullet"/>
              <w:spacing w:after="20"/>
              <w:ind w:left="198" w:hanging="170"/>
            </w:pPr>
            <w:r>
              <w:rPr>
                <w:b w:val="0"/>
                <w:i w:val="0"/>
                <w:sz w:val="15"/>
              </w:rPr>
              <w:t>Utilizan herramientas e instrumentos tecnológicos (TIC) para tratar datos cuantitativos obtenidos durante una investigación.</w:t>
            </w:r>
          </w:p>
          <w:p>
            <w:pPr>
              <w:pStyle w:val="ListBullet"/>
              <w:spacing w:after="20"/>
              <w:ind w:left="198" w:hanging="170"/>
            </w:pPr>
            <w:r>
              <w:rPr>
                <w:b w:val="0"/>
                <w:i w:val="0"/>
                <w:sz w:val="15"/>
              </w:rPr>
              <w:t>Utilizan modelos para apoyar explicaciones y la formulación de predicciones.</w:t>
            </w:r>
          </w:p>
          <w:p>
            <w:r>
              <w:rPr>
                <w:b/>
                <w:i w:val="0"/>
                <w:sz w:val="15"/>
              </w:rPr>
              <w:t>Evaluación 2 (OA 15) · pág. 320</w:t>
            </w:r>
          </w:p>
          <w:p>
            <w:pPr>
              <w:pStyle w:val="ListBullet"/>
              <w:spacing w:after="20"/>
              <w:ind w:left="198" w:hanging="170"/>
            </w:pPr>
            <w:r>
              <w:rPr>
                <w:b w:val="0"/>
                <w:i w:val="0"/>
                <w:sz w:val="15"/>
              </w:rPr>
              <w:t>Reconocen las características de las soluciones químicas en diferentes estados físicos en cuanto a sus componentes y propiedades.</w:t>
            </w:r>
          </w:p>
          <w:p>
            <w:pPr>
              <w:pStyle w:val="ListBullet"/>
              <w:spacing w:after="20"/>
              <w:ind w:left="198" w:hanging="170"/>
            </w:pPr>
            <w:r>
              <w:rPr>
                <w:b w:val="0"/>
                <w:i w:val="0"/>
                <w:sz w:val="15"/>
              </w:rPr>
              <w:t>Caracterizan los componentes de la solución como soluto y solvente mediante ejemplos del entorno y la vida cotidiana, considerando los cambios en la propiedad de la solución por influencia del soluto (conductividad, entre otros).</w:t>
            </w:r>
          </w:p>
          <w:p>
            <w:pPr>
              <w:pStyle w:val="ListBullet"/>
              <w:spacing w:after="20"/>
              <w:ind w:left="198" w:hanging="170"/>
            </w:pPr>
            <w:r>
              <w:rPr>
                <w:b w:val="0"/>
                <w:i w:val="0"/>
                <w:sz w:val="15"/>
              </w:rPr>
              <w:t>Aplican el concepto de solubilidad y de solución insaturada, saturada y sobresaturada para soluciones teóricas y experimentales.</w:t>
            </w:r>
          </w:p>
          <w:p>
            <w:pPr>
              <w:pStyle w:val="ListBullet"/>
              <w:spacing w:after="20"/>
              <w:ind w:left="198" w:hanging="170"/>
            </w:pPr>
            <w:r>
              <w:rPr>
                <w:b w:val="0"/>
                <w:i w:val="0"/>
                <w:sz w:val="15"/>
              </w:rPr>
              <w:t>Utilizan modelos para apoyar explicaciones y la formulación de predicciones.</w:t>
            </w:r>
          </w:p>
          <w:p>
            <w:r>
              <w:rPr>
                <w:b/>
                <w:i w:val="0"/>
                <w:sz w:val="15"/>
              </w:rPr>
              <w:t>Evaluación 3 (OA 15) · pág. 322</w:t>
            </w:r>
          </w:p>
          <w:p>
            <w:pPr>
              <w:pStyle w:val="ListBullet"/>
              <w:spacing w:after="20"/>
              <w:ind w:left="198" w:hanging="170"/>
            </w:pPr>
            <w:r>
              <w:rPr>
                <w:b w:val="0"/>
                <w:i w:val="0"/>
                <w:sz w:val="15"/>
              </w:rPr>
              <w:t>Establecen cantidad de soluto en la solución mediante cálculos de concentración en solución y en diluciones.</w:t>
            </w:r>
          </w:p>
          <w:p>
            <w:pPr>
              <w:pStyle w:val="ListBullet"/>
              <w:spacing w:after="20"/>
              <w:ind w:left="198" w:hanging="170"/>
            </w:pPr>
            <w:r>
              <w:rPr>
                <w:b w:val="0"/>
                <w:i w:val="0"/>
                <w:sz w:val="15"/>
              </w:rPr>
              <w:t>Aplican el concepto de solubilidad y de solución insaturada, saturada y sobresaturada para soluciones teóricas y experimentales.</w:t>
            </w:r>
          </w:p>
          <w:p>
            <w:pPr>
              <w:pStyle w:val="ListBullet"/>
              <w:spacing w:after="20"/>
              <w:ind w:left="198" w:hanging="170"/>
            </w:pPr>
            <w:r>
              <w:rPr>
                <w:b w:val="0"/>
                <w:i w:val="0"/>
                <w:sz w:val="15"/>
              </w:rPr>
              <w:t>Evalúan diversos problemas estequiométricos de reacciones en solución.</w:t>
            </w:r>
          </w:p>
          <w:p>
            <w:pPr>
              <w:pStyle w:val="ListBullet"/>
              <w:spacing w:after="20"/>
              <w:ind w:left="198" w:hanging="170"/>
            </w:pPr>
            <w:r>
              <w:rPr>
                <w:b w:val="0"/>
                <w:i w:val="0"/>
                <w:sz w:val="15"/>
              </w:rPr>
              <w:t>Evalúan la calidad de los instrumentos, herramientas y materiales empleados en una investigación.</w:t>
            </w:r>
          </w:p>
          <w:p>
            <w:r>
              <w:rPr>
                <w:b/>
                <w:i w:val="0"/>
                <w:sz w:val="15"/>
              </w:rPr>
              <w:t>Evaluación 4 (OA 15) · pág. 323</w:t>
            </w:r>
          </w:p>
          <w:p>
            <w:pPr>
              <w:pStyle w:val="ListBullet"/>
              <w:spacing w:after="20"/>
              <w:ind w:left="198" w:hanging="170"/>
            </w:pPr>
            <w:r>
              <w:rPr>
                <w:b w:val="0"/>
                <w:i w:val="0"/>
                <w:sz w:val="15"/>
              </w:rPr>
              <w:t>Reconocen las características de las soluciones químicas en diferentes estados físicos en cuanto a sus componentes y propiedades.</w:t>
            </w:r>
          </w:p>
          <w:p>
            <w:pPr>
              <w:pStyle w:val="ListBullet"/>
              <w:spacing w:after="20"/>
              <w:ind w:left="198" w:hanging="170"/>
            </w:pPr>
            <w:r>
              <w:rPr>
                <w:b w:val="0"/>
                <w:i w:val="0"/>
                <w:sz w:val="15"/>
              </w:rPr>
              <w:t>Caracterizan los componentes de la solución como soluto y solvente mediante ejemplos del entorno y la vida cotidiana, considerando los cambios en la propiedad de la solución por influencia del soluto (conductividad, entre otros).</w:t>
            </w:r>
          </w:p>
          <w:p>
            <w:pPr>
              <w:pStyle w:val="ListBullet"/>
              <w:spacing w:after="20"/>
              <w:ind w:left="198" w:hanging="170"/>
            </w:pPr>
            <w:r>
              <w:rPr>
                <w:b w:val="0"/>
                <w:i w:val="0"/>
                <w:sz w:val="15"/>
              </w:rPr>
              <w:t>Evalúan la calidad de los instrumentos, herramientas y materiales empleados en una investigación.</w:t>
            </w:r>
          </w:p>
          <w:p>
            <w:pPr>
              <w:pStyle w:val="ListBullet"/>
              <w:spacing w:after="20"/>
              <w:ind w:left="198" w:hanging="170"/>
            </w:pPr>
            <w:r>
              <w:rPr>
                <w:b w:val="0"/>
                <w:i w:val="0"/>
                <w:sz w:val="15"/>
              </w:rPr>
              <w:t>Utilizan modelos para apoyar explicaciones y la formulación de predicciones.</w:t>
            </w:r>
          </w:p>
        </w:tc>
        <w:tc>
          <w:tcPr>
            <w:tcW w:type="dxa" w:w="1474"/>
          </w:tcPr>
          <w:p>
            <w:r/>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preguntas breves sobre reacciones, nomenclatura y estequiometría (1° medio).</w:t>
            </w:r>
          </w:p>
          <w:p>
            <w:r>
              <w:rPr>
                <w:b/>
                <w:i w:val="0"/>
                <w:sz w:val="15"/>
              </w:rPr>
              <w:t xml:space="preserve">Formativa. </w:t>
            </w:r>
            <w:r>
              <w:rPr>
                <w:b/>
                <w:i/>
                <w:color w:val="595959"/>
                <w:sz w:val="15"/>
              </w:rPr>
              <w:t xml:space="preserve">Sugerencia — revisar: </w:t>
            </w:r>
            <w:r>
              <w:rPr>
                <w:b w:val="0"/>
                <w:i/>
                <w:color w:val="595959"/>
                <w:sz w:val="15"/>
              </w:rPr>
              <w:t>Preparación de soluciones con pauta y cálculo de concentraciones; tickets de salida.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1. Cada estudiante lee el texto y analiza el gráfico que se presenta a continuación: El oxígeno disuelto ha sido uno de los constituyentes no conservativos (su concentración es variable) más estudiados en ecosistemas acuáticos (Packard et al., 1969). (pág. 318)</w:t>
            </w:r>
          </w:p>
          <w:p>
            <w:pPr>
              <w:pStyle w:val="ListBullet"/>
              <w:spacing w:after="20"/>
              <w:ind w:left="198" w:hanging="170"/>
            </w:pPr>
            <w:r>
              <w:rPr>
                <w:b/>
                <w:i w:val="0"/>
                <w:sz w:val="15"/>
              </w:rPr>
              <w:t xml:space="preserve">Evaluación 2: </w:t>
            </w:r>
            <w:r>
              <w:rPr>
                <w:b w:val="0"/>
                <w:i w:val="0"/>
                <w:sz w:val="15"/>
              </w:rPr>
              <w:t>Cada estudiante lleva a cabo lo que se solicita a continuación. (pág. 320)</w:t>
            </w:r>
          </w:p>
          <w:p>
            <w:pPr>
              <w:pStyle w:val="ListBullet"/>
              <w:spacing w:after="20"/>
              <w:ind w:left="198" w:hanging="170"/>
            </w:pPr>
            <w:r>
              <w:rPr>
                <w:b/>
                <w:i w:val="0"/>
                <w:sz w:val="15"/>
              </w:rPr>
              <w:t xml:space="preserve">Evaluación 3: </w:t>
            </w:r>
            <w:r>
              <w:rPr>
                <w:b w:val="0"/>
                <w:i w:val="0"/>
                <w:sz w:val="15"/>
              </w:rPr>
              <w:t>Cada estudiante lee la siguiente información; posteriormente, lleva a cabo lo solicitado y responde las preguntas. (pág. 322)</w:t>
            </w:r>
          </w:p>
          <w:p>
            <w:pPr>
              <w:pStyle w:val="ListBullet"/>
              <w:spacing w:after="20"/>
              <w:ind w:left="198" w:hanging="170"/>
            </w:pPr>
            <w:r>
              <w:rPr>
                <w:b/>
                <w:i w:val="0"/>
                <w:sz w:val="15"/>
              </w:rPr>
              <w:t xml:space="preserve">Evaluación 4: </w:t>
            </w:r>
            <w:r>
              <w:rPr>
                <w:b w:val="0"/>
                <w:i w:val="0"/>
                <w:sz w:val="15"/>
              </w:rPr>
              <w:t>Cada estudiante lee la siguiente información; luego, responde las preguntas y realiza lo solicitado. (pág. 323)</w:t>
            </w:r>
          </w:p>
        </w:tc>
        <w:tc>
          <w:tcPr>
            <w:tcW w:type="dxa" w:w="1247"/>
          </w:tcPr>
          <w:p>
            <w:r/>
            <w:r>
              <w:rPr>
                <w:b/>
                <w:i/>
                <w:color w:val="595959"/>
                <w:sz w:val="15"/>
              </w:rPr>
              <w:t xml:space="preserve">Sugerencia — revisar: </w:t>
            </w:r>
            <w:r>
              <w:rPr>
                <w:b w:val="0"/>
                <w:i/>
                <w:color w:val="595959"/>
                <w:sz w:val="15"/>
              </w:rPr>
              <w:t>Materiales de laboratorio; balanzas; productos de uso doméstico con concentración rotulada.</w:t>
            </w:r>
          </w:p>
        </w:tc>
      </w:tr>
      <w:tr>
        <w:tc>
          <w:tcPr>
            <w:tcW w:type="dxa" w:w="1757"/>
          </w:tcPr>
          <w:p>
            <w:r/>
            <w:r>
              <w:rPr>
                <w:b/>
                <w:i w:val="0"/>
                <w:sz w:val="16"/>
              </w:rPr>
              <w:t>Unidad 2</w:t>
            </w:r>
          </w:p>
          <w:p>
            <w:r>
              <w:rPr>
                <w:b/>
                <w:i w:val="0"/>
                <w:sz w:val="16"/>
              </w:rPr>
              <w:t>Propiedades coligativas de las soluciones</w:t>
            </w:r>
          </w:p>
          <w:p>
            <w:r>
              <w:rPr>
                <w:b w:val="0"/>
                <w:i w:val="0"/>
                <w:sz w:val="15"/>
              </w:rPr>
              <w:t>En esta unidad se abordan los cambios experimentados en una solución por efecto de la interacción de un soluto con un solvente, concretando dicha idea mediante la identificación y comprensión de las propiedades coligativas de las soluciones.</w:t>
            </w:r>
          </w:p>
          <w:p>
            <w:r>
              <w:rPr>
                <w:b w:val="0"/>
                <w:i w:val="0"/>
                <w:color w:val="595959"/>
                <w:sz w:val="14"/>
              </w:rPr>
              <w:t>Programa, págs. 325–341</w:t>
            </w:r>
          </w:p>
        </w:tc>
        <w:tc>
          <w:tcPr>
            <w:tcW w:type="dxa" w:w="1134"/>
          </w:tcPr>
          <w:p>
            <w:r/>
            <w:r>
              <w:rPr>
                <w:b/>
                <w:i w:val="0"/>
                <w:sz w:val="15"/>
              </w:rPr>
              <w:t>Semestre 1</w:t>
            </w:r>
          </w:p>
          <w:p>
            <w:r>
              <w:rPr>
                <w:b w:val="0"/>
                <w:i w:val="0"/>
                <w:sz w:val="15"/>
              </w:rPr>
              <w:t>14 h pedagógicas</w:t>
            </w:r>
          </w:p>
          <w:p>
            <w:r>
              <w:rPr>
                <w:b w:val="0"/>
                <w:i w:val="0"/>
                <w:color w:val="595959"/>
                <w:sz w:val="15"/>
              </w:rPr>
              <w:t>Semanas 12 a 19</w:t>
            </w:r>
          </w:p>
        </w:tc>
        <w:tc>
          <w:tcPr>
            <w:tcW w:type="dxa" w:w="1134"/>
          </w:tcPr>
          <w:p>
            <w:r/>
            <w:r>
              <w:rPr>
                <w:b/>
                <w:i w:val="0"/>
                <w:sz w:val="15"/>
              </w:rPr>
              <w:t>OA 16</w:t>
            </w:r>
          </w:p>
          <w:p>
            <w:r>
              <w:rPr>
                <w:b w:val="0"/>
                <w:i w:val="0"/>
                <w:color w:val="595959"/>
                <w:sz w:val="14"/>
              </w:rPr>
              <w:t>(texto en Anexo G)</w:t>
            </w:r>
          </w:p>
          <w:p>
            <w:r>
              <w:rPr>
                <w:b w:val="0"/>
                <w:i w:val="0"/>
                <w:sz w:val="14"/>
              </w:rPr>
              <w:t>Evaluados en los ejemplos del Programa:</w:t>
            </w:r>
          </w:p>
          <w:p>
            <w:r>
              <w:rPr>
                <w:b/>
                <w:i w:val="0"/>
                <w:sz w:val="15"/>
              </w:rPr>
              <w:t>OA 16</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Planificar diversos diseños de investigaciones experimentales que den respuesta a una pregunta y/o problema sobre la base de diversas fuentes de información científica, considerando:</w:t>
              <w:br/>
              <w:t>- El uso adecuado de instrumentos y materiales para asegurar la obtención de datos confiables.</w:t>
              <w:br/>
              <w:t>- La manipulación de variables y sus relaciones.</w:t>
              <w:br/>
              <w:t>- La explicación clara de procedimientos posibles de replicar. (OA d)</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datos cuantitativos y/o cualitativos con precisión, fundamentando su confiabilidad, y presentarlos en tablas, gráficos, modelos u otras representaciones, con la ayuda de las TIC. (OA h)</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Analizar y explicar los resultados de una investigación científica*, para plantear inferencias y conclusiones:</w:t>
              <w:br/>
              <w:t>- Comparando las relaciones, tendencias y patrones de las variables.</w:t>
              <w:br/>
              <w:t>- Usando expresiones y operaciones matemáticas cuando sea pertinente (por ejemplo: potencias, razones, funciones, notación científica, medidas de tendencia central, cambio porcentual).</w:t>
              <w:br/>
              <w:t>- Utilizando vocabulario disciplinar pertinente.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explicaciones, las predicciones y las conclusiones.</w:t>
              <w:br/>
              <w:t>- Las posibles aplicaciones tecnológicas.</w:t>
              <w:br/>
              <w:t>- El desempeño personal y grupal. (OA k)</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 (OA m)</w:t>
            </w:r>
          </w:p>
        </w:tc>
        <w:tc>
          <w:tcPr>
            <w:tcW w:type="dxa" w:w="2438"/>
          </w:tcPr>
          <w:p>
            <w:r/>
            <w:r>
              <w:rPr>
                <w:b/>
                <w:i w:val="0"/>
                <w:sz w:val="15"/>
              </w:rPr>
              <w:t>Conocimientos</w:t>
            </w:r>
          </w:p>
          <w:p>
            <w:pPr>
              <w:pStyle w:val="ListBullet"/>
              <w:spacing w:after="20"/>
              <w:ind w:left="198" w:hanging="170"/>
            </w:pPr>
            <w:r>
              <w:rPr>
                <w:b w:val="0"/>
                <w:i w:val="0"/>
                <w:sz w:val="15"/>
              </w:rPr>
              <w:t>Propiedades coligativas de las soluciones: descenso de la presión de vapor, ascenso ebulloscópico, descenso crioscópico y presión osmótica.</w:t>
            </w:r>
          </w:p>
          <w:p>
            <w:pPr>
              <w:pStyle w:val="ListBullet"/>
              <w:spacing w:after="20"/>
              <w:ind w:left="198" w:hanging="170"/>
            </w:pPr>
            <w:r>
              <w:rPr>
                <w:b w:val="0"/>
                <w:i w:val="0"/>
                <w:sz w:val="15"/>
              </w:rPr>
              <w:t>Relación entre la presión de vapor y la concentración de las soluciones: presión de vapor y ley de Raoult.</w:t>
            </w:r>
          </w:p>
          <w:p>
            <w:pPr>
              <w:pStyle w:val="ListBullet"/>
              <w:spacing w:after="20"/>
              <w:ind w:left="198" w:hanging="170"/>
            </w:pPr>
            <w:r>
              <w:rPr>
                <w:b w:val="0"/>
                <w:i w:val="0"/>
                <w:sz w:val="15"/>
              </w:rPr>
              <w:t>Relación entre la temperatura y la concentración de las soluciones: ascenso ebulloscópico (soluto no volátil), descenso crioscópico y presión osmótica.</w:t>
            </w:r>
          </w:p>
          <w:p>
            <w:pPr>
              <w:pStyle w:val="ListBullet"/>
              <w:spacing w:after="20"/>
              <w:ind w:left="198" w:hanging="170"/>
            </w:pPr>
            <w:r>
              <w:rPr>
                <w:b w:val="0"/>
                <w:i w:val="0"/>
                <w:sz w:val="15"/>
              </w:rPr>
              <w:t>Conductividad eléctrica de las soluciones. Nota: La cantidad de actividades sugeridas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Presión de vapor, ley de Raoult, osmosis, presión osmótica, factor de Van’’t Hoff, punto de ebullición, punto de congelación, ascenso ebulloscópico, descenso crioscópico, solución conductora, electrolito, electrolito fuerte, electrolito débil, no electrolito, solvente polar, disociación. PROPIEDADES COLIGATIVAS DE LAS SOLUCIONES</w:t>
            </w:r>
          </w:p>
        </w:tc>
        <w:tc>
          <w:tcPr>
            <w:tcW w:type="dxa" w:w="3175"/>
          </w:tcPr>
          <w:p>
            <w:r/>
            <w:r>
              <w:rPr>
                <w:b/>
                <w:i w:val="0"/>
                <w:sz w:val="15"/>
              </w:rPr>
              <w:t>Evaluación 1 (OA 16) · pág. 336</w:t>
            </w:r>
          </w:p>
          <w:p>
            <w:pPr>
              <w:pStyle w:val="ListBullet"/>
              <w:spacing w:after="20"/>
              <w:ind w:left="198" w:hanging="170"/>
            </w:pPr>
            <w:r>
              <w:rPr>
                <w:b w:val="0"/>
                <w:i w:val="0"/>
                <w:sz w:val="15"/>
              </w:rPr>
              <w:t>Identifican los efectos de un soluto sobre un solvente mediante las variaciones en las propiedades físicas de la solución (variación en punto de ebullición y de congelación) respecto al solvente puro.</w:t>
            </w:r>
          </w:p>
          <w:p>
            <w:pPr>
              <w:pStyle w:val="ListBullet"/>
              <w:spacing w:after="20"/>
              <w:ind w:left="198" w:hanging="170"/>
            </w:pPr>
            <w:r>
              <w:rPr>
                <w:b w:val="0"/>
                <w:i w:val="0"/>
                <w:sz w:val="15"/>
              </w:rPr>
              <w:t>Evidencian experimentalmente las propiedades coligativas de una solución mediante experiencias simples de laboratorio y ejemplos documentados (comportamiento químico de aditivos anticongelantes y su función en motores).</w:t>
            </w:r>
          </w:p>
          <w:p>
            <w:pPr>
              <w:pStyle w:val="ListBullet"/>
              <w:spacing w:after="20"/>
              <w:ind w:left="198" w:hanging="170"/>
            </w:pPr>
            <w:r>
              <w:rPr>
                <w:b w:val="0"/>
                <w:i w:val="0"/>
                <w:sz w:val="15"/>
              </w:rPr>
              <w:t>Utilizan modelos para apoyar explicaciones y la formulación de predicciones.</w:t>
            </w:r>
          </w:p>
          <w:p>
            <w:r>
              <w:rPr>
                <w:b/>
                <w:i w:val="0"/>
                <w:sz w:val="15"/>
              </w:rPr>
              <w:t>Evaluación 2 (OA 16) · pág. 337</w:t>
            </w:r>
          </w:p>
          <w:p>
            <w:pPr>
              <w:pStyle w:val="ListBullet"/>
              <w:spacing w:after="20"/>
              <w:ind w:left="198" w:hanging="170"/>
            </w:pPr>
            <w:r>
              <w:rPr>
                <w:b w:val="0"/>
                <w:i w:val="0"/>
                <w:sz w:val="15"/>
              </w:rPr>
              <w:t>Identifican los efectos de un soluto sobre un solvente mediante las variaciones en las propiedades físicas de la solución (variación en punto de ebullición y de congelación) respecto al solvente puro.</w:t>
            </w:r>
          </w:p>
          <w:p>
            <w:pPr>
              <w:pStyle w:val="ListBullet"/>
              <w:spacing w:after="20"/>
              <w:ind w:left="198" w:hanging="170"/>
            </w:pPr>
            <w:r>
              <w:rPr>
                <w:b w:val="0"/>
                <w:i w:val="0"/>
                <w:sz w:val="15"/>
              </w:rPr>
              <w:t>Relacionan la disminución de la presión de vapor y la variación en la presión osmótica con la interacción de un solvente en contacto con un soluto.</w:t>
            </w:r>
          </w:p>
          <w:p>
            <w:pPr>
              <w:pStyle w:val="ListBullet"/>
              <w:spacing w:after="20"/>
              <w:ind w:left="198" w:hanging="170"/>
            </w:pPr>
            <w:r>
              <w:rPr>
                <w:b w:val="0"/>
                <w:i w:val="0"/>
                <w:sz w:val="15"/>
              </w:rPr>
              <w:t>Evidencian experimentalmente las propiedades coligativas de una solución mediante experiencias simples de laboratorio y ejemplos documentados (comportamiento químico de aditivos anticongelantes y su función en motores)</w:t>
            </w:r>
          </w:p>
          <w:p>
            <w:pPr>
              <w:pStyle w:val="ListBullet"/>
              <w:spacing w:after="20"/>
              <w:ind w:left="198" w:hanging="170"/>
            </w:pPr>
            <w:r>
              <w:rPr>
                <w:b w:val="0"/>
                <w:i w:val="0"/>
                <w:sz w:val="15"/>
              </w:rPr>
              <w:t>Explican, basándose en la presión osmótica la función que cumple el suero fisiológico a nivel celular mediante demostraciones teóricas y empíricas.</w:t>
            </w:r>
          </w:p>
          <w:p>
            <w:pPr>
              <w:pStyle w:val="ListBullet"/>
              <w:spacing w:after="20"/>
              <w:ind w:left="198" w:hanging="170"/>
            </w:pPr>
            <w:r>
              <w:rPr>
                <w:b w:val="0"/>
                <w:i w:val="0"/>
                <w:sz w:val="15"/>
              </w:rPr>
              <w:t>Utilizan modelos para apoyar explicaciones y la formulación de predicciones.</w:t>
            </w:r>
          </w:p>
          <w:p>
            <w:r>
              <w:rPr>
                <w:b/>
                <w:i w:val="0"/>
                <w:sz w:val="15"/>
              </w:rPr>
              <w:t>Evaluación 3 (OA 16) · pág. 339</w:t>
            </w:r>
          </w:p>
          <w:p>
            <w:pPr>
              <w:pStyle w:val="ListBullet"/>
              <w:spacing w:after="20"/>
              <w:ind w:left="198" w:hanging="170"/>
            </w:pPr>
            <w:r>
              <w:rPr>
                <w:b w:val="0"/>
                <w:i w:val="0"/>
                <w:sz w:val="15"/>
              </w:rPr>
              <w:t>Identifican los efectos de un soluto sobre un solvente mediante las variaciones en las propiedades físicas de la solución (variación en punto de ebullición y de congelación) respecto al solvente puro.</w:t>
            </w:r>
          </w:p>
          <w:p>
            <w:pPr>
              <w:pStyle w:val="ListBullet"/>
              <w:spacing w:after="20"/>
              <w:ind w:left="198" w:hanging="170"/>
            </w:pPr>
            <w:r>
              <w:rPr>
                <w:b w:val="0"/>
                <w:i w:val="0"/>
                <w:sz w:val="15"/>
              </w:rPr>
              <w:t>Evidencian experimentalmente las propiedades coligativas de una solución mediante experiencias simples de laboratorio y ejemplos documentados (comportamiento químico de aditivos anticongelantes y su función en motores).</w:t>
            </w:r>
          </w:p>
          <w:p>
            <w:pPr>
              <w:pStyle w:val="ListBullet"/>
              <w:spacing w:after="20"/>
              <w:ind w:left="198" w:hanging="170"/>
            </w:pPr>
            <w:r>
              <w:rPr>
                <w:b w:val="0"/>
                <w:i w:val="0"/>
                <w:sz w:val="15"/>
              </w:rPr>
              <w:t>Determinan el ascenso ebulloscópico, el descenso crioscópico y/o la concentración de la disolución en diversas situaciones cotidianas o en diferentes problemas.</w:t>
            </w:r>
          </w:p>
          <w:p>
            <w:pPr>
              <w:pStyle w:val="ListBullet"/>
              <w:spacing w:after="20"/>
              <w:ind w:left="198" w:hanging="170"/>
            </w:pPr>
            <w:r>
              <w:rPr>
                <w:b w:val="0"/>
                <w:i w:val="0"/>
                <w:sz w:val="15"/>
              </w:rPr>
              <w:t>Calculan variables como volumen de solución, número de moles de soluto, temperatura absoluta o presión osmótica, en el estudio de las propiedades coligativas.</w:t>
            </w:r>
          </w:p>
          <w:p>
            <w:pPr>
              <w:pStyle w:val="ListBullet"/>
              <w:spacing w:after="20"/>
              <w:ind w:left="198" w:hanging="170"/>
            </w:pPr>
            <w:r>
              <w:rPr>
                <w:b w:val="0"/>
                <w:i w:val="0"/>
                <w:sz w:val="15"/>
              </w:rPr>
              <w:t>Examinan las variables investigadas identificando su importancia en la investigación.</w:t>
            </w:r>
          </w:p>
        </w:tc>
        <w:tc>
          <w:tcPr>
            <w:tcW w:type="dxa" w:w="1474"/>
          </w:tcPr>
          <w:p>
            <w:r/>
            <w:r>
              <w:rPr>
                <w:b/>
                <w:i w:val="0"/>
                <w:sz w:val="15"/>
              </w:rPr>
              <w:t xml:space="preserve">OA H: </w:t>
            </w:r>
            <w:r>
              <w:rPr>
                <w:b w:val="0"/>
                <w:i w:val="0"/>
                <w:sz w:val="15"/>
              </w:rPr>
              <w:t>Demostrar valoración e interés por los aportes de hombres y mujeres al conocimiento científico y reconocer que desde siempre los seres humanos han intentado comprender el mundo.</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p>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tc>
        <w:tc>
          <w:tcPr>
            <w:tcW w:type="dxa" w:w="1871"/>
          </w:tcPr>
          <w:p>
            <w:r/>
            <w:r>
              <w:rPr>
                <w:b/>
                <w:i w:val="0"/>
                <w:sz w:val="15"/>
              </w:rPr>
              <w:t xml:space="preserve">Formativa. </w:t>
            </w:r>
            <w:r>
              <w:rPr>
                <w:b/>
                <w:i/>
                <w:color w:val="595959"/>
                <w:sz w:val="15"/>
              </w:rPr>
              <w:t xml:space="preserve">Sugerencia — revisar: </w:t>
            </w:r>
            <w:r>
              <w:rPr>
                <w:b w:val="0"/>
                <w:i/>
                <w:color w:val="595959"/>
                <w:sz w:val="15"/>
              </w:rPr>
              <w:t>Experiencias de puntos de ebullición y congelación con informe breve; problemas en parejas.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Cada estudiante analiza las siguientes situaciones cotidianas y lleva a cabo lo que se solicita a continuación. (pág. 336)</w:t>
            </w:r>
          </w:p>
          <w:p>
            <w:pPr>
              <w:pStyle w:val="ListBullet"/>
              <w:spacing w:after="20"/>
              <w:ind w:left="198" w:hanging="170"/>
            </w:pPr>
            <w:r>
              <w:rPr>
                <w:b/>
                <w:i w:val="0"/>
                <w:sz w:val="15"/>
              </w:rPr>
              <w:t xml:space="preserve">Evaluación 2: </w:t>
            </w:r>
            <w:r>
              <w:rPr>
                <w:b w:val="0"/>
                <w:i w:val="0"/>
                <w:sz w:val="15"/>
              </w:rPr>
              <w:t>Cada estudiante lee la siguiente información y realiza lo solicitado a continuación. (pág. 337)</w:t>
            </w:r>
          </w:p>
          <w:p>
            <w:pPr>
              <w:pStyle w:val="ListBullet"/>
              <w:spacing w:after="20"/>
              <w:ind w:left="198" w:hanging="170"/>
            </w:pPr>
            <w:r>
              <w:rPr>
                <w:b/>
                <w:i w:val="0"/>
                <w:sz w:val="15"/>
              </w:rPr>
              <w:t xml:space="preserve">Evaluación 3: </w:t>
            </w:r>
            <w:r>
              <w:rPr>
                <w:b w:val="0"/>
                <w:i w:val="0"/>
                <w:sz w:val="15"/>
              </w:rPr>
              <w:t>Cada estudiante lee la siguiente información y lleva a cabo lo solicitado a continuación. (pág. 339)</w:t>
            </w:r>
          </w:p>
        </w:tc>
        <w:tc>
          <w:tcPr>
            <w:tcW w:type="dxa" w:w="1247"/>
          </w:tcPr>
          <w:p>
            <w:r/>
            <w:r>
              <w:rPr>
                <w:b/>
                <w:i/>
                <w:color w:val="595959"/>
                <w:sz w:val="15"/>
              </w:rPr>
              <w:t xml:space="preserve">Sugerencia — revisar: </w:t>
            </w:r>
            <w:r>
              <w:rPr>
                <w:b w:val="0"/>
                <w:i/>
                <w:color w:val="595959"/>
                <w:sz w:val="15"/>
              </w:rPr>
              <w:t>Termómetros, sal, azúcar; ejemplos cotidianos (sal en caminos con hielo en zonas cordilleranas o del sur, anticongelantes).</w:t>
            </w:r>
          </w:p>
        </w:tc>
      </w:tr>
      <w:tr>
        <w:tc>
          <w:tcPr>
            <w:tcW w:type="dxa" w:w="1757"/>
          </w:tcPr>
          <w:p>
            <w:r/>
            <w:r>
              <w:rPr>
                <w:b/>
                <w:i w:val="0"/>
                <w:sz w:val="16"/>
              </w:rPr>
              <w:t>Unidad 3</w:t>
            </w:r>
          </w:p>
          <w:p>
            <w:r>
              <w:rPr>
                <w:b/>
                <w:i w:val="0"/>
                <w:sz w:val="16"/>
              </w:rPr>
              <w:t>Química orgánica</w:t>
            </w:r>
          </w:p>
          <w:p>
            <w:r>
              <w:rPr>
                <w:b w:val="0"/>
                <w:i w:val="0"/>
                <w:sz w:val="15"/>
              </w:rPr>
              <w:t>Durante el desarrollo de esta unidad se espera que las y los estudiantes profundicen sobre química orgánica y su importancia, como una disciplina de amplio alcance y basada en el pilar del conocimiento de características y propiedades del carbono y sus interacciones.</w:t>
            </w:r>
          </w:p>
          <w:p>
            <w:r>
              <w:rPr>
                <w:b w:val="0"/>
                <w:i w:val="0"/>
                <w:color w:val="595959"/>
                <w:sz w:val="14"/>
              </w:rPr>
              <w:t>Programa, págs. 342–359</w:t>
            </w:r>
          </w:p>
        </w:tc>
        <w:tc>
          <w:tcPr>
            <w:tcW w:type="dxa" w:w="1134"/>
          </w:tcPr>
          <w:p>
            <w:r/>
            <w:r>
              <w:rPr>
                <w:b/>
                <w:i w:val="0"/>
                <w:sz w:val="15"/>
              </w:rPr>
              <w:t>Semestre 2</w:t>
            </w:r>
          </w:p>
          <w:p>
            <w:r>
              <w:rPr>
                <w:b w:val="0"/>
                <w:i w:val="0"/>
                <w:sz w:val="15"/>
              </w:rPr>
              <w:t>18 h pedagógicas</w:t>
            </w:r>
          </w:p>
          <w:p>
            <w:r>
              <w:rPr>
                <w:b w:val="0"/>
                <w:i w:val="0"/>
                <w:color w:val="595959"/>
                <w:sz w:val="15"/>
              </w:rPr>
              <w:t>Semanas 20 a 30</w:t>
            </w:r>
          </w:p>
        </w:tc>
        <w:tc>
          <w:tcPr>
            <w:tcW w:type="dxa" w:w="1134"/>
          </w:tcPr>
          <w:p>
            <w:r/>
            <w:r>
              <w:rPr>
                <w:b/>
                <w:i w:val="0"/>
                <w:sz w:val="15"/>
              </w:rPr>
              <w:t>OA 17</w:t>
            </w:r>
          </w:p>
          <w:p>
            <w:r>
              <w:rPr>
                <w:b w:val="0"/>
                <w:i w:val="0"/>
                <w:color w:val="595959"/>
                <w:sz w:val="14"/>
              </w:rPr>
              <w:t>(texto en Anexo G)</w:t>
            </w:r>
          </w:p>
          <w:p>
            <w:r>
              <w:rPr>
                <w:b w:val="0"/>
                <w:i w:val="0"/>
                <w:sz w:val="14"/>
              </w:rPr>
              <w:t>Evaluados en los ejemplos del Programa:</w:t>
            </w:r>
          </w:p>
          <w:p>
            <w:r>
              <w:rPr>
                <w:b/>
                <w:i w:val="0"/>
                <w:sz w:val="15"/>
              </w:rPr>
              <w:t>OA 17</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Formular y fundamentar hipótesis comprobables, basándose en conocimiento científico. (OA c)</w:t>
            </w:r>
          </w:p>
          <w:p>
            <w:pPr>
              <w:pStyle w:val="ListBullet"/>
              <w:spacing w:after="20"/>
              <w:ind w:left="198" w:hanging="170"/>
            </w:pPr>
            <w:r>
              <w:rPr>
                <w:b w:val="0"/>
                <w:i w:val="0"/>
                <w:sz w:val="15"/>
              </w:rPr>
              <w:t>Planificar diversos diseños de investigaciones experimentales que den respuesta a una pregunta y/o problema sobre la base de diversas fuentes de información científica, considerando:</w:t>
              <w:br/>
              <w:t>- El uso adecuado de instrumentos y materiales para asegurar la obtención de datos confiables.</w:t>
              <w:br/>
              <w:t>- La manipulación de variables y sus relaciones.</w:t>
              <w:br/>
              <w:t>- La explicación clara de procedimientos posibles de replicar. (OA d)</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datos cuantitativos y/o cualitativos con precisión, fundamentando su confiabilidad, y presentarlos en tablas, gráficos, modelos u otras representaciones, con la ayuda de las TIC. (OA h)</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Analizar y explicar los resultados de una investigación científica*, para plantear inferencias y conclusiones:</w:t>
              <w:br/>
              <w:t>- Comparando las relaciones, tendencias y patrones de las variables.</w:t>
              <w:br/>
              <w:t>- Usando expresiones y operaciones matemáticas cuando sea pertinente (por ejemplo: potencias, razones, funciones, notación científica, medidas de tendencia central, cambio porcentual).</w:t>
              <w:br/>
              <w:t>- Utilizando vocabulario disciplinar pertinente.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explicaciones, las predicciones y las conclusiones.</w:t>
              <w:br/>
              <w:t>- Las posibles aplicaciones tecnológicas.</w:t>
              <w:br/>
              <w:t>- El desempeño personal y grupal. (OA k)</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 (OA m)</w:t>
            </w:r>
          </w:p>
        </w:tc>
        <w:tc>
          <w:tcPr>
            <w:tcW w:type="dxa" w:w="2438"/>
          </w:tcPr>
          <w:p>
            <w:r/>
            <w:r>
              <w:rPr>
                <w:b/>
                <w:i w:val="0"/>
                <w:sz w:val="15"/>
              </w:rPr>
              <w:t>Conocimientos</w:t>
            </w:r>
          </w:p>
          <w:p>
            <w:pPr>
              <w:pStyle w:val="ListBullet"/>
              <w:spacing w:after="20"/>
              <w:ind w:left="198" w:hanging="170"/>
            </w:pPr>
            <w:r>
              <w:rPr>
                <w:b w:val="0"/>
                <w:i w:val="0"/>
                <w:sz w:val="15"/>
              </w:rPr>
              <w:t>Origen del petróleo, teorías acerca de su origen, sus derivados.</w:t>
            </w:r>
          </w:p>
          <w:p>
            <w:pPr>
              <w:pStyle w:val="ListBullet"/>
              <w:spacing w:after="20"/>
              <w:ind w:left="198" w:hanging="170"/>
            </w:pPr>
            <w:r>
              <w:rPr>
                <w:b w:val="0"/>
                <w:i w:val="0"/>
                <w:sz w:val="15"/>
              </w:rPr>
              <w:t>Propiedades fisicoquímicas del carbono: tetravalencia, hibridación, ángulos de enlace, distancia y energía de enlace.</w:t>
            </w:r>
          </w:p>
          <w:p>
            <w:pPr>
              <w:pStyle w:val="ListBullet"/>
              <w:spacing w:after="20"/>
              <w:ind w:left="198" w:hanging="170"/>
            </w:pPr>
            <w:r>
              <w:rPr>
                <w:b w:val="0"/>
                <w:i w:val="0"/>
                <w:sz w:val="15"/>
              </w:rPr>
              <w:t>Nomenclatura de compuestos orgánicos, reglas para nombrar los compuestos orgánicos.</w:t>
            </w:r>
          </w:p>
          <w:p>
            <w:pPr>
              <w:pStyle w:val="ListBullet"/>
              <w:spacing w:after="20"/>
              <w:ind w:left="198" w:hanging="170"/>
            </w:pPr>
            <w:r>
              <w:rPr>
                <w:b w:val="0"/>
                <w:i w:val="0"/>
                <w:sz w:val="15"/>
              </w:rPr>
              <w:t>Representación de moléculas orgánicas en variadas formas: fórmula molecular, fórmula estructural expandida, fórmula estructural condensada, modelo de esferas y varillas, fórmula lineal o topológica.</w:t>
            </w:r>
          </w:p>
          <w:p>
            <w:pPr>
              <w:pStyle w:val="ListBullet"/>
              <w:spacing w:after="20"/>
              <w:ind w:left="198" w:hanging="170"/>
            </w:pPr>
            <w:r>
              <w:rPr>
                <w:b w:val="0"/>
                <w:i w:val="0"/>
                <w:sz w:val="15"/>
              </w:rPr>
              <w:t>Grupos funcionales presentes en compuestos orgánicos: nombre de compuestos orgánicos, propiedades fisicoquímicas que caracterizan a compuestos con un grupo funcional determinado, usos industriales y aplicaciones tecnológicas.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Carbono, petróleo, tetravalencia, hibridación, enlace п, enlace σ, energía de enlace, cadena principal, ramificaciones, fórmula estructural expandida, fórmula estructural condensada, modelo de esferas y varillas, fórmula topológica, hidrocarburos, alcanos, alquenos, alquinos, hidrocarburos cíclicos, hidrocarburos aromáticos, grupos funcionales, haluros, éteres, alcoholes, sulfuros, aminas, cetonas, aldehídos, ácidos carboxílicos, anhídridos, esteres, amidas, aminas, nitrilos, nomenclatura orgánica. QUÍMICA ORGÁNICA</w:t>
            </w:r>
          </w:p>
        </w:tc>
        <w:tc>
          <w:tcPr>
            <w:tcW w:type="dxa" w:w="3175"/>
          </w:tcPr>
          <w:p>
            <w:r/>
            <w:r>
              <w:rPr>
                <w:b/>
                <w:i w:val="0"/>
                <w:sz w:val="15"/>
              </w:rPr>
              <w:t>Evaluación 1 (OA 17) · pág. 355</w:t>
            </w:r>
          </w:p>
          <w:p>
            <w:pPr>
              <w:pStyle w:val="ListBullet"/>
              <w:spacing w:after="20"/>
              <w:ind w:left="198" w:hanging="170"/>
            </w:pPr>
            <w:r>
              <w:rPr>
                <w:b w:val="0"/>
                <w:i w:val="0"/>
                <w:sz w:val="15"/>
              </w:rPr>
              <w:t>Identifican propiedades y características del carbono que promueven las características de las moléculas orgánicas.</w:t>
            </w:r>
          </w:p>
          <w:p>
            <w:pPr>
              <w:pStyle w:val="ListBullet"/>
              <w:spacing w:after="20"/>
              <w:ind w:left="198" w:hanging="170"/>
            </w:pPr>
            <w:r>
              <w:rPr>
                <w:b w:val="0"/>
                <w:i w:val="0"/>
                <w:sz w:val="15"/>
              </w:rPr>
              <w:t>Explican la tetravalencia del carbono de acuerdo a propiedades electrónicas.</w:t>
            </w:r>
          </w:p>
          <w:p>
            <w:pPr>
              <w:pStyle w:val="ListBullet"/>
              <w:spacing w:after="20"/>
              <w:ind w:left="198" w:hanging="170"/>
            </w:pPr>
            <w:r>
              <w:rPr>
                <w:b w:val="0"/>
                <w:i w:val="0"/>
                <w:sz w:val="15"/>
              </w:rPr>
              <w:t>Utilizan modelos de representación de moléculas orgánicas: fórmula molecular, estructural expandida, estructural condensada, esferas y varillas, entre otras como identificación de las moléculas orgánicas.</w:t>
            </w:r>
          </w:p>
          <w:p>
            <w:pPr>
              <w:pStyle w:val="ListBullet"/>
              <w:spacing w:after="20"/>
              <w:ind w:left="198" w:hanging="170"/>
            </w:pPr>
            <w:r>
              <w:rPr>
                <w:b w:val="0"/>
                <w:i w:val="0"/>
                <w:sz w:val="15"/>
              </w:rPr>
              <w:t>Comprenden el impacto ambiental del uso de compuestos orgánicos desde las investigaciones para evidenciar la importancia de la química orgánica.</w:t>
            </w:r>
          </w:p>
          <w:p>
            <w:pPr>
              <w:pStyle w:val="ListBullet"/>
              <w:spacing w:after="20"/>
              <w:ind w:left="198" w:hanging="170"/>
            </w:pPr>
            <w:r>
              <w:rPr>
                <w:b w:val="0"/>
                <w:i w:val="0"/>
                <w:sz w:val="15"/>
              </w:rPr>
              <w:t>Utilizan modelos para apoyar explicaciones y la formulación de predicciones.</w:t>
            </w:r>
          </w:p>
          <w:p>
            <w:r>
              <w:rPr>
                <w:b/>
                <w:i w:val="0"/>
                <w:sz w:val="15"/>
              </w:rPr>
              <w:t>Evaluación 2 (OA 17) · pág. 356</w:t>
            </w:r>
          </w:p>
          <w:p>
            <w:pPr>
              <w:pStyle w:val="ListBullet"/>
              <w:spacing w:after="20"/>
              <w:ind w:left="198" w:hanging="170"/>
            </w:pPr>
            <w:r>
              <w:rPr>
                <w:b w:val="0"/>
                <w:i w:val="0"/>
                <w:sz w:val="15"/>
              </w:rPr>
              <w:t>Relacionan distintas fuentes de carbono con procesos, tales como extracción y procesamiento del petróleo.</w:t>
            </w:r>
          </w:p>
          <w:p>
            <w:pPr>
              <w:pStyle w:val="ListBullet"/>
              <w:spacing w:after="20"/>
              <w:ind w:left="198" w:hanging="170"/>
            </w:pPr>
            <w:r>
              <w:rPr>
                <w:b w:val="0"/>
                <w:i w:val="0"/>
                <w:sz w:val="15"/>
              </w:rPr>
              <w:t>Nombran la cadena principal y las ramificaciones en un compuesto orgánico mediante uso de nomenclatura IUPAC.</w:t>
            </w:r>
          </w:p>
          <w:p>
            <w:pPr>
              <w:pStyle w:val="ListBullet"/>
              <w:spacing w:after="20"/>
              <w:ind w:left="198" w:hanging="170"/>
            </w:pPr>
            <w:r>
              <w:rPr>
                <w:b w:val="0"/>
                <w:i w:val="0"/>
                <w:sz w:val="15"/>
              </w:rPr>
              <w:t>Utilizan modelos de representación de moléculas orgánicas: fórmula molecular, estructural expandida, estructural condensada, esferas y varillas, entre otras como identificación de las moléculas orgánicas.</w:t>
            </w:r>
          </w:p>
          <w:p>
            <w:pPr>
              <w:pStyle w:val="ListBullet"/>
              <w:spacing w:after="20"/>
              <w:ind w:left="198" w:hanging="170"/>
            </w:pPr>
            <w:r>
              <w:rPr>
                <w:b w:val="0"/>
                <w:i w:val="0"/>
                <w:sz w:val="15"/>
              </w:rPr>
              <w:t>Identifican los grupos funcionales (haluros, éteres, alcoholes, sulfuros, aminas, cetonas, aldehídos, ácidos carboxílicos, anhídridos, ésteres, amidas, aminas y nitrilos, entre otros) según nomenclatura IUPAC.</w:t>
            </w:r>
          </w:p>
          <w:p>
            <w:pPr>
              <w:pStyle w:val="ListBullet"/>
              <w:spacing w:after="20"/>
              <w:ind w:left="198" w:hanging="170"/>
            </w:pPr>
            <w:r>
              <w:rPr>
                <w:b w:val="0"/>
                <w:i w:val="0"/>
                <w:sz w:val="15"/>
              </w:rPr>
              <w:t>Comprenden el impacto ambiental del uso de compuestos orgánicos desde las investigaciones para evidenciar la importancia de la química orgánica.</w:t>
            </w:r>
          </w:p>
          <w:p>
            <w:pPr>
              <w:pStyle w:val="ListBullet"/>
              <w:spacing w:after="20"/>
              <w:ind w:left="198" w:hanging="170"/>
            </w:pPr>
            <w:r>
              <w:rPr>
                <w:b w:val="0"/>
                <w:i w:val="0"/>
                <w:sz w:val="15"/>
              </w:rPr>
              <w:t>Establecen la organización de datos cualitativos y cuantitativos según la necesidad de una investigación, como tablas o bitácoras, entre otros.</w:t>
            </w:r>
          </w:p>
          <w:p>
            <w:r>
              <w:rPr>
                <w:b/>
                <w:i w:val="0"/>
                <w:sz w:val="15"/>
              </w:rPr>
              <w:t>Evaluación 3 (OA 17) · pág. 358</w:t>
            </w:r>
          </w:p>
          <w:p>
            <w:pPr>
              <w:pStyle w:val="ListBullet"/>
              <w:spacing w:after="20"/>
              <w:ind w:left="198" w:hanging="170"/>
            </w:pPr>
            <w:r>
              <w:rPr>
                <w:b w:val="0"/>
                <w:i w:val="0"/>
                <w:sz w:val="15"/>
              </w:rPr>
              <w:t>Relacionan distintas fuentes de carbono con procesos, tales como extracción y procesamiento del petróleo.</w:t>
            </w:r>
          </w:p>
          <w:p>
            <w:pPr>
              <w:pStyle w:val="ListBullet"/>
              <w:spacing w:after="20"/>
              <w:ind w:left="198" w:hanging="170"/>
            </w:pPr>
            <w:r>
              <w:rPr>
                <w:b w:val="0"/>
                <w:i w:val="0"/>
                <w:sz w:val="15"/>
              </w:rPr>
              <w:t>Nombran la cadena principal y las ramificaciones en un compuesto orgánico mediante uso de nomenclatura IUPAC.</w:t>
            </w:r>
          </w:p>
          <w:p>
            <w:pPr>
              <w:pStyle w:val="ListBullet"/>
              <w:spacing w:after="20"/>
              <w:ind w:left="198" w:hanging="170"/>
            </w:pPr>
            <w:r>
              <w:rPr>
                <w:b w:val="0"/>
                <w:i w:val="0"/>
                <w:sz w:val="15"/>
              </w:rPr>
              <w:t>Utilizan modelos de representación de moléculas orgánicas: fórmula molecular, estructural expandida, estructural condensada, esferas y varillas, entre otras como identificación de las moléculas orgánicas.</w:t>
            </w:r>
          </w:p>
          <w:p>
            <w:pPr>
              <w:pStyle w:val="ListBullet"/>
              <w:spacing w:after="20"/>
              <w:ind w:left="198" w:hanging="170"/>
            </w:pPr>
            <w:r>
              <w:rPr>
                <w:b w:val="0"/>
                <w:i w:val="0"/>
                <w:sz w:val="15"/>
              </w:rPr>
              <w:t>Identifican los grupos funcionales (haluros, éteres, alcoholes, sulfuros, aminas, cetonas, aldehídos, ácidos carboxílicos, anhídridos, ésteres, amidas, aminas y nitrilos, entre otros) según nomenclatura IUPAC.</w:t>
            </w:r>
          </w:p>
          <w:p>
            <w:pPr>
              <w:pStyle w:val="ListBullet"/>
              <w:spacing w:after="20"/>
              <w:ind w:left="198" w:hanging="170"/>
            </w:pPr>
            <w:r>
              <w:rPr>
                <w:b w:val="0"/>
                <w:i w:val="0"/>
                <w:sz w:val="15"/>
              </w:rPr>
              <w:t>Comprenden el impacto ambiental del uso de compuestos orgánicos desde las investigaciones para evidenciar la importancia de la química orgánica.</w:t>
            </w:r>
          </w:p>
          <w:p>
            <w:pPr>
              <w:pStyle w:val="ListBullet"/>
              <w:spacing w:after="20"/>
              <w:ind w:left="198" w:hanging="170"/>
            </w:pPr>
            <w:r>
              <w:rPr>
                <w:b w:val="0"/>
                <w:i w:val="0"/>
                <w:sz w:val="15"/>
              </w:rPr>
              <w:t>Utilizan modelos para apoyar explicaciones y la formulación de predicciones.</w:t>
            </w:r>
          </w:p>
          <w:p>
            <w:r>
              <w:rPr>
                <w:b/>
                <w:i w:val="0"/>
                <w:sz w:val="15"/>
              </w:rPr>
              <w:t>Evaluación 4 (OA 17) · pág. 359</w:t>
            </w:r>
          </w:p>
          <w:p>
            <w:pPr>
              <w:pStyle w:val="ListBullet"/>
              <w:spacing w:after="20"/>
              <w:ind w:left="198" w:hanging="170"/>
            </w:pPr>
            <w:r>
              <w:rPr>
                <w:b w:val="0"/>
                <w:i w:val="0"/>
                <w:sz w:val="15"/>
              </w:rPr>
              <w:t>Nombran la cadena principal y las ramificaciones en un compuesto orgánico mediante uso de nomenclatura IUPAC.</w:t>
            </w:r>
          </w:p>
          <w:p>
            <w:pPr>
              <w:pStyle w:val="ListBullet"/>
              <w:spacing w:after="20"/>
              <w:ind w:left="198" w:hanging="170"/>
            </w:pPr>
            <w:r>
              <w:rPr>
                <w:b w:val="0"/>
                <w:i w:val="0"/>
                <w:sz w:val="15"/>
              </w:rPr>
              <w:t>Utilizan modelos de representación de moléculas orgánicas: fórmula molecular, estructural expandida, estructural condensada, esferas y varillas, entre otras como identificación de las moléculas orgánicas.</w:t>
            </w:r>
          </w:p>
          <w:p>
            <w:pPr>
              <w:pStyle w:val="ListBullet"/>
              <w:spacing w:after="20"/>
              <w:ind w:left="198" w:hanging="170"/>
            </w:pPr>
            <w:r>
              <w:rPr>
                <w:b w:val="0"/>
                <w:i w:val="0"/>
                <w:sz w:val="15"/>
              </w:rPr>
              <w:t>Identifican los grupos funcionales (haluros, éteres, alcoholes, sulfuros, aminas, cetonas, aldehídos, ácidos carboxílicos, anhídridos, ésteres, amidas, aminas y nitrilos, entre otros) según nomenclatura IUPAC.</w:t>
            </w:r>
          </w:p>
          <w:p>
            <w:pPr>
              <w:pStyle w:val="ListBullet"/>
              <w:spacing w:after="20"/>
              <w:ind w:left="198" w:hanging="170"/>
            </w:pPr>
            <w:r>
              <w:rPr>
                <w:b w:val="0"/>
                <w:i w:val="0"/>
                <w:sz w:val="15"/>
              </w:rPr>
              <w:t>Comprenden el impacto ambiental del uso de compuestos orgánicos desde las investigaciones para evidenciar la importancia de la química orgánica.</w:t>
            </w:r>
          </w:p>
          <w:p>
            <w:pPr>
              <w:pStyle w:val="ListBullet"/>
              <w:spacing w:after="20"/>
              <w:ind w:left="198" w:hanging="170"/>
            </w:pPr>
            <w:r>
              <w:rPr>
                <w:b w:val="0"/>
                <w:i w:val="0"/>
                <w:sz w:val="15"/>
              </w:rPr>
              <w:t>Utilizan modelos para apoyar explicaciones y la formulación de predicciones.</w:t>
            </w:r>
          </w:p>
        </w:tc>
        <w:tc>
          <w:tcPr>
            <w:tcW w:type="dxa" w:w="1474"/>
          </w:tcPr>
          <w:p>
            <w:r/>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H: </w:t>
            </w:r>
            <w:r>
              <w:rPr>
                <w:b w:val="0"/>
                <w:i w:val="0"/>
                <w:sz w:val="15"/>
              </w:rPr>
              <w:t>Demostrar valoración e interés por los aportes de hombres y mujeres al conocimiento científico y reconocer que desde siempre los seres humanos han intentado comprender el mundo.</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p>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tc>
        <w:tc>
          <w:tcPr>
            <w:tcW w:type="dxa" w:w="1871"/>
          </w:tcPr>
          <w:p>
            <w:r/>
            <w:r>
              <w:rPr>
                <w:b/>
                <w:i w:val="0"/>
                <w:sz w:val="15"/>
              </w:rPr>
              <w:t xml:space="preserve">Formativa. </w:t>
            </w:r>
            <w:r>
              <w:rPr>
                <w:b/>
                <w:i/>
                <w:color w:val="595959"/>
                <w:sz w:val="15"/>
              </w:rPr>
              <w:t xml:space="preserve">Sugerencia — revisar: </w:t>
            </w:r>
            <w:r>
              <w:rPr>
                <w:b w:val="0"/>
                <w:i/>
                <w:color w:val="595959"/>
                <w:sz w:val="15"/>
              </w:rPr>
              <w:t>Construcción de modelos de moléculas orgánicas; ejercitación de nomenclatura con autocorrección.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Cada estudiante lee la siguiente información; luego, responde las preguntas y desarrolla las actividades. (pág. 355)</w:t>
            </w:r>
          </w:p>
          <w:p>
            <w:pPr>
              <w:pStyle w:val="ListBullet"/>
              <w:spacing w:after="20"/>
              <w:ind w:left="198" w:hanging="170"/>
            </w:pPr>
            <w:r>
              <w:rPr>
                <w:b/>
                <w:i w:val="0"/>
                <w:sz w:val="15"/>
              </w:rPr>
              <w:t xml:space="preserve">Evaluación 2: </w:t>
            </w:r>
            <w:r>
              <w:rPr>
                <w:b w:val="0"/>
                <w:i w:val="0"/>
                <w:sz w:val="15"/>
              </w:rPr>
              <w:t>Cada estudiante completa la siguiente tabla y realiza lo solicitado a continuación. (pág. 356)</w:t>
            </w:r>
          </w:p>
          <w:p>
            <w:pPr>
              <w:pStyle w:val="ListBullet"/>
              <w:spacing w:after="20"/>
              <w:ind w:left="198" w:hanging="170"/>
            </w:pPr>
            <w:r>
              <w:rPr>
                <w:b/>
                <w:i w:val="0"/>
                <w:sz w:val="15"/>
              </w:rPr>
              <w:t xml:space="preserve">Evaluación 3: </w:t>
            </w:r>
            <w:r>
              <w:rPr>
                <w:b w:val="0"/>
                <w:i w:val="0"/>
                <w:sz w:val="15"/>
              </w:rPr>
              <w:t>Cada estudiante lleva a cabo lo que se solicita a continuación. (pág. 358)</w:t>
            </w:r>
          </w:p>
          <w:p>
            <w:pPr>
              <w:pStyle w:val="ListBullet"/>
              <w:spacing w:after="20"/>
              <w:ind w:left="198" w:hanging="170"/>
            </w:pPr>
            <w:r>
              <w:rPr>
                <w:b/>
                <w:i w:val="0"/>
                <w:sz w:val="15"/>
              </w:rPr>
              <w:t xml:space="preserve">Evaluación 4: </w:t>
            </w:r>
            <w:r>
              <w:rPr>
                <w:b w:val="0"/>
                <w:i w:val="0"/>
                <w:sz w:val="15"/>
              </w:rPr>
              <w:t>Cada estudiante observa con detención los siguientes modelos y, luego, lleva a cabo lo solicitado. (pág. 359)</w:t>
            </w:r>
          </w:p>
        </w:tc>
        <w:tc>
          <w:tcPr>
            <w:tcW w:type="dxa" w:w="1247"/>
          </w:tcPr>
          <w:p>
            <w:r/>
            <w:r>
              <w:rPr>
                <w:b/>
                <w:i/>
                <w:color w:val="595959"/>
                <w:sz w:val="15"/>
              </w:rPr>
              <w:t xml:space="preserve">Sugerencia — revisar: </w:t>
            </w:r>
            <w:r>
              <w:rPr>
                <w:b w:val="0"/>
                <w:i/>
                <w:color w:val="595959"/>
                <w:sz w:val="15"/>
              </w:rPr>
              <w:t>Modelos moleculares; software de visualización molecular; etiquetas de productos.</w:t>
            </w:r>
          </w:p>
        </w:tc>
      </w:tr>
      <w:tr>
        <w:tc>
          <w:tcPr>
            <w:tcW w:type="dxa" w:w="1757"/>
          </w:tcPr>
          <w:p>
            <w:r/>
            <w:r>
              <w:rPr>
                <w:b/>
                <w:i w:val="0"/>
                <w:sz w:val="16"/>
              </w:rPr>
              <w:t>Unidad 4</w:t>
            </w:r>
          </w:p>
          <w:p>
            <w:r>
              <w:rPr>
                <w:b/>
                <w:i w:val="0"/>
                <w:sz w:val="16"/>
              </w:rPr>
              <w:t>Química orgánica: estereoquímica e isomería</w:t>
            </w:r>
          </w:p>
          <w:p>
            <w:r>
              <w:rPr>
                <w:b w:val="0"/>
                <w:i w:val="0"/>
                <w:sz w:val="15"/>
              </w:rPr>
              <w:t>Esta unidad aborda la comprensión de las moléculas orgánicas, su diversidad, distribución espacial de los átomos en la molécula y utilización de distintas representaciones bi- y tridimensionales para caracterizarlos.</w:t>
            </w:r>
          </w:p>
          <w:p>
            <w:r>
              <w:rPr>
                <w:b w:val="0"/>
                <w:i w:val="0"/>
                <w:color w:val="595959"/>
                <w:sz w:val="14"/>
              </w:rPr>
              <w:t>Programa, págs. 360–372</w:t>
            </w:r>
          </w:p>
        </w:tc>
        <w:tc>
          <w:tcPr>
            <w:tcW w:type="dxa" w:w="1134"/>
          </w:tcPr>
          <w:p>
            <w:r/>
            <w:r>
              <w:rPr>
                <w:b/>
                <w:i w:val="0"/>
                <w:sz w:val="15"/>
              </w:rPr>
              <w:t>Semestre 2</w:t>
            </w:r>
          </w:p>
          <w:p>
            <w:r>
              <w:rPr>
                <w:b w:val="0"/>
                <w:i w:val="0"/>
                <w:sz w:val="15"/>
              </w:rPr>
              <w:t>14 h pedagógicas</w:t>
            </w:r>
          </w:p>
          <w:p>
            <w:r>
              <w:rPr>
                <w:b w:val="0"/>
                <w:i w:val="0"/>
                <w:color w:val="595959"/>
                <w:sz w:val="15"/>
              </w:rPr>
              <w:t>Semanas 31 a 38</w:t>
            </w:r>
          </w:p>
        </w:tc>
        <w:tc>
          <w:tcPr>
            <w:tcW w:type="dxa" w:w="1134"/>
          </w:tcPr>
          <w:p>
            <w:r/>
            <w:r>
              <w:rPr>
                <w:b/>
                <w:i w:val="0"/>
                <w:sz w:val="15"/>
              </w:rPr>
              <w:t>OA 18</w:t>
            </w:r>
          </w:p>
          <w:p>
            <w:r>
              <w:rPr>
                <w:b w:val="0"/>
                <w:i w:val="0"/>
                <w:color w:val="595959"/>
                <w:sz w:val="14"/>
              </w:rPr>
              <w:t>(texto en Anexo G)</w:t>
            </w:r>
          </w:p>
          <w:p>
            <w:r>
              <w:rPr>
                <w:b w:val="0"/>
                <w:i w:val="0"/>
                <w:sz w:val="14"/>
              </w:rPr>
              <w:t>Evaluados en los ejemplos del Programa:</w:t>
            </w:r>
          </w:p>
          <w:p>
            <w:r>
              <w:rPr>
                <w:b/>
                <w:i w:val="0"/>
                <w:sz w:val="15"/>
              </w:rPr>
              <w:t>OA 18</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Planificar diversos diseños de investigaciones experimentales que den respuesta a una pregunta y/o problema sobre la base de diversas fuentes de información científica, considerando:</w:t>
              <w:br/>
              <w:t>- El uso adecuado de instrumentos y materiales para asegurar la obtención de datos confiables.</w:t>
              <w:br/>
              <w:t>- La manipulación de variables y sus relaciones.</w:t>
              <w:br/>
              <w:t>- La explicación clara de procedimientos posibles de replicar. (OA d)</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 (OA m)</w:t>
            </w:r>
          </w:p>
        </w:tc>
        <w:tc>
          <w:tcPr>
            <w:tcW w:type="dxa" w:w="2438"/>
          </w:tcPr>
          <w:p>
            <w:r/>
            <w:r>
              <w:rPr>
                <w:b/>
                <w:i w:val="0"/>
                <w:sz w:val="15"/>
              </w:rPr>
              <w:t>Conocimientos</w:t>
            </w:r>
          </w:p>
          <w:p>
            <w:pPr>
              <w:pStyle w:val="ListBullet"/>
              <w:spacing w:after="20"/>
              <w:ind w:left="198" w:hanging="170"/>
            </w:pPr>
            <w:r>
              <w:rPr>
                <w:b w:val="0"/>
                <w:i w:val="0"/>
                <w:sz w:val="15"/>
              </w:rPr>
              <w:t>Estructura tridimensional de moléculas orgánicas: fórmulas en perspectiva, proyecciones de Newman, proyecciones de caballete, conformaciones de compuestos cíclicos.</w:t>
            </w:r>
          </w:p>
          <w:p>
            <w:pPr>
              <w:pStyle w:val="ListBullet"/>
              <w:spacing w:after="20"/>
              <w:ind w:left="198" w:hanging="170"/>
            </w:pPr>
            <w:r>
              <w:rPr>
                <w:b w:val="0"/>
                <w:i w:val="0"/>
                <w:sz w:val="15"/>
              </w:rPr>
              <w:t>Estereoquímica e isomería en compuestos orgánicos: isómeros constitucionales y estereoisómeros, configuraciones R y S.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Fórmulas en perspectiva, proyecciones de Newman, proyecciones de Fischer, proyecciones de caballete, conformaciones cíclicas, isomería, isómeros constitucionales, estereoisómeros, centro quiral, configuración R y S. QUÍMICA ORGÁNICA: ESTEREOQUÍMICA E ISOMERÍA</w:t>
            </w:r>
          </w:p>
        </w:tc>
        <w:tc>
          <w:tcPr>
            <w:tcW w:type="dxa" w:w="3175"/>
          </w:tcPr>
          <w:p>
            <w:r/>
            <w:r>
              <w:rPr>
                <w:b/>
                <w:i w:val="0"/>
                <w:sz w:val="15"/>
              </w:rPr>
              <w:t>Evaluación 1 (OA 18) · pág. 368</w:t>
            </w:r>
          </w:p>
          <w:p>
            <w:pPr>
              <w:pStyle w:val="ListBullet"/>
              <w:spacing w:after="20"/>
              <w:ind w:left="198" w:hanging="170"/>
            </w:pPr>
            <w:r>
              <w:rPr>
                <w:b w:val="0"/>
                <w:i w:val="0"/>
                <w:sz w:val="15"/>
              </w:rPr>
              <w:t>Identifican los centros asimétricos o quirales de un compuesto orgánico para precisar sus características.</w:t>
            </w:r>
          </w:p>
          <w:p>
            <w:pPr>
              <w:pStyle w:val="ListBullet"/>
              <w:spacing w:after="20"/>
              <w:ind w:left="198" w:hanging="170"/>
            </w:pPr>
            <w:r>
              <w:rPr>
                <w:b w:val="0"/>
                <w:i w:val="0"/>
                <w:sz w:val="15"/>
              </w:rPr>
              <w:t>Representan estereoisómeros mediante modelos como proyecciones de Fischer.</w:t>
            </w:r>
          </w:p>
          <w:p>
            <w:pPr>
              <w:pStyle w:val="ListBullet"/>
              <w:spacing w:after="20"/>
              <w:ind w:left="198" w:hanging="170"/>
            </w:pPr>
            <w:r>
              <w:rPr>
                <w:b w:val="0"/>
                <w:i w:val="0"/>
                <w:sz w:val="15"/>
              </w:rPr>
              <w:t>Designan configuraciones R o S a distintos compuestos orgánicos, a partir de su estereoquímica.</w:t>
            </w:r>
          </w:p>
          <w:p>
            <w:pPr>
              <w:pStyle w:val="ListBullet"/>
              <w:spacing w:after="20"/>
              <w:ind w:left="198" w:hanging="170"/>
            </w:pPr>
            <w:r>
              <w:rPr>
                <w:b w:val="0"/>
                <w:i w:val="0"/>
                <w:sz w:val="15"/>
              </w:rPr>
              <w:t>Utilizan herramientas e instrumentos tecnológicos (TIC) para tratar datos cuantitativos obtenidos durante una investigación.</w:t>
            </w:r>
          </w:p>
          <w:p>
            <w:pPr>
              <w:pStyle w:val="ListBullet"/>
              <w:spacing w:after="20"/>
              <w:ind w:left="198" w:hanging="170"/>
            </w:pPr>
            <w:r>
              <w:rPr>
                <w:b w:val="0"/>
                <w:i w:val="0"/>
                <w:sz w:val="15"/>
              </w:rPr>
              <w:t>Utilizan modelos para apoyar explicaciones y la formulación de predicciones.</w:t>
            </w:r>
          </w:p>
          <w:p>
            <w:r>
              <w:rPr>
                <w:b/>
                <w:i w:val="0"/>
                <w:sz w:val="15"/>
              </w:rPr>
              <w:t>Evaluación 2 (OA 18) · pág. 370</w:t>
            </w:r>
          </w:p>
          <w:p>
            <w:pPr>
              <w:pStyle w:val="ListBullet"/>
              <w:spacing w:after="20"/>
              <w:ind w:left="198" w:hanging="170"/>
            </w:pPr>
            <w:r>
              <w:rPr>
                <w:b w:val="0"/>
                <w:i w:val="0"/>
                <w:sz w:val="15"/>
              </w:rPr>
              <w:t>Identifican los centros asimétricos o quirales de un compuesto orgánico para precisar sus características.</w:t>
            </w:r>
          </w:p>
          <w:p>
            <w:pPr>
              <w:pStyle w:val="ListBullet"/>
              <w:spacing w:after="20"/>
              <w:ind w:left="198" w:hanging="170"/>
            </w:pPr>
            <w:r>
              <w:rPr>
                <w:b w:val="0"/>
                <w:i w:val="0"/>
                <w:sz w:val="15"/>
              </w:rPr>
              <w:t>Representan estereoisómeros mediante modelos como proyecciones de Fischer.</w:t>
            </w:r>
          </w:p>
          <w:p>
            <w:pPr>
              <w:pStyle w:val="ListBullet"/>
              <w:spacing w:after="20"/>
              <w:ind w:left="198" w:hanging="170"/>
            </w:pPr>
            <w:r>
              <w:rPr>
                <w:b w:val="0"/>
                <w:i w:val="0"/>
                <w:sz w:val="15"/>
              </w:rPr>
              <w:t>Designan configuraciones R o S a distintos compuestos orgánicos, a partir de su estereoquímica.</w:t>
            </w:r>
          </w:p>
          <w:p>
            <w:pPr>
              <w:pStyle w:val="ListBullet"/>
              <w:spacing w:after="20"/>
              <w:ind w:left="198" w:hanging="170"/>
            </w:pPr>
            <w:r>
              <w:rPr>
                <w:b w:val="0"/>
                <w:i w:val="0"/>
                <w:sz w:val="15"/>
              </w:rPr>
              <w:t>Discuten las consecuencias de utilizar determinados isómeros en ciertos medicamentos.</w:t>
            </w:r>
          </w:p>
          <w:p>
            <w:pPr>
              <w:pStyle w:val="ListBullet"/>
              <w:spacing w:after="20"/>
              <w:ind w:left="198" w:hanging="170"/>
            </w:pPr>
            <w:r>
              <w:rPr>
                <w:b w:val="0"/>
                <w:i w:val="0"/>
                <w:sz w:val="15"/>
              </w:rPr>
              <w:t>Utilizan herramientas e instrumentos tecnológicos (TIC) para tratar datos cuantitativos obtenidos durante una investigación.</w:t>
            </w:r>
          </w:p>
          <w:p>
            <w:pPr>
              <w:pStyle w:val="ListBullet"/>
              <w:spacing w:after="20"/>
              <w:ind w:left="198" w:hanging="170"/>
            </w:pPr>
            <w:r>
              <w:rPr>
                <w:b w:val="0"/>
                <w:i w:val="0"/>
                <w:sz w:val="15"/>
              </w:rPr>
              <w:t>Utilizan modelos para apoyar explicaciones y la formulación de predicciones.</w:t>
            </w:r>
          </w:p>
          <w:p>
            <w:r>
              <w:rPr>
                <w:b/>
                <w:i w:val="0"/>
                <w:sz w:val="15"/>
              </w:rPr>
              <w:t>Evaluación 3 (OA 18) · pág. 372</w:t>
            </w:r>
          </w:p>
          <w:p>
            <w:pPr>
              <w:pStyle w:val="ListBullet"/>
              <w:spacing w:after="20"/>
              <w:ind w:left="198" w:hanging="170"/>
            </w:pPr>
            <w:r>
              <w:rPr>
                <w:b w:val="0"/>
                <w:i w:val="0"/>
                <w:sz w:val="15"/>
              </w:rPr>
              <w:t>Identifican, mediante modelos, la estructura tridimensional de un determinado compuesto orgánico.</w:t>
            </w:r>
          </w:p>
          <w:p>
            <w:pPr>
              <w:pStyle w:val="ListBullet"/>
              <w:spacing w:after="20"/>
              <w:ind w:left="198" w:hanging="170"/>
            </w:pPr>
            <w:r>
              <w:rPr>
                <w:b w:val="0"/>
                <w:i w:val="0"/>
                <w:sz w:val="15"/>
              </w:rPr>
              <w:t>Identifican los centros asimétricos o quirales de un compuesto orgánico para precisar sus características.</w:t>
            </w:r>
          </w:p>
          <w:p>
            <w:pPr>
              <w:pStyle w:val="ListBullet"/>
              <w:spacing w:after="20"/>
              <w:ind w:left="198" w:hanging="170"/>
            </w:pPr>
            <w:r>
              <w:rPr>
                <w:b w:val="0"/>
                <w:i w:val="0"/>
                <w:sz w:val="15"/>
              </w:rPr>
              <w:t>Representan estereoisómeros mediante modelos como proyecciones de Fischer.</w:t>
            </w:r>
          </w:p>
          <w:p>
            <w:pPr>
              <w:pStyle w:val="ListBullet"/>
              <w:spacing w:after="20"/>
              <w:ind w:left="198" w:hanging="170"/>
            </w:pPr>
            <w:r>
              <w:rPr>
                <w:b w:val="0"/>
                <w:i w:val="0"/>
                <w:sz w:val="15"/>
              </w:rPr>
              <w:t>Designan configuraciones R o S a distintos compuestos orgánicos, a partir de su estereoquímica.</w:t>
            </w:r>
          </w:p>
          <w:p>
            <w:pPr>
              <w:pStyle w:val="ListBullet"/>
              <w:spacing w:after="20"/>
              <w:ind w:left="198" w:hanging="170"/>
            </w:pPr>
            <w:r>
              <w:rPr>
                <w:b w:val="0"/>
                <w:i w:val="0"/>
                <w:sz w:val="15"/>
              </w:rPr>
              <w:t>Utilizan herramientas e instrumentos tecnológicos (TIC) para tratar datos cuantitativos obtenidos durante una investigación.</w:t>
            </w:r>
          </w:p>
          <w:p>
            <w:pPr>
              <w:pStyle w:val="ListBullet"/>
              <w:spacing w:after="20"/>
              <w:ind w:left="198" w:hanging="170"/>
            </w:pPr>
            <w:r>
              <w:rPr>
                <w:b w:val="0"/>
                <w:i w:val="0"/>
                <w:sz w:val="15"/>
              </w:rPr>
              <w:t>Utilizan modelos para apoyar explicaciones y la formulación de predicciones.</w:t>
            </w:r>
          </w:p>
        </w:tc>
        <w:tc>
          <w:tcPr>
            <w:tcW w:type="dxa" w:w="1474"/>
          </w:tcPr>
          <w:p>
            <w:r/>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tc>
        <w:tc>
          <w:tcPr>
            <w:tcW w:type="dxa" w:w="1871"/>
          </w:tcPr>
          <w:p>
            <w:r/>
            <w:r>
              <w:rPr>
                <w:b/>
                <w:i w:val="0"/>
                <w:sz w:val="15"/>
              </w:rPr>
              <w:t xml:space="preserve">Formativa. </w:t>
            </w:r>
            <w:r>
              <w:rPr>
                <w:b/>
                <w:i/>
                <w:color w:val="595959"/>
                <w:sz w:val="15"/>
              </w:rPr>
              <w:t xml:space="preserve">Sugerencia — revisar: </w:t>
            </w:r>
            <w:r>
              <w:rPr>
                <w:b w:val="0"/>
                <w:i/>
                <w:color w:val="595959"/>
                <w:sz w:val="15"/>
              </w:rPr>
              <w:t>Modelos tridimensionales de isómeros revisados en clase; preguntas de cierre.</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Cada estudiante lleva a cabo lo solicitado a continuación. (pág. 368)</w:t>
            </w:r>
          </w:p>
          <w:p>
            <w:pPr>
              <w:pStyle w:val="ListBullet"/>
              <w:spacing w:after="20"/>
              <w:ind w:left="198" w:hanging="170"/>
            </w:pPr>
            <w:r>
              <w:rPr>
                <w:b/>
                <w:i w:val="0"/>
                <w:sz w:val="15"/>
              </w:rPr>
              <w:t xml:space="preserve">Evaluación 2: </w:t>
            </w:r>
            <w:r>
              <w:rPr>
                <w:b w:val="0"/>
                <w:i w:val="0"/>
                <w:sz w:val="15"/>
              </w:rPr>
              <w:t>Cada estudiante observa detenidamente los siguientes modelos de moléculas orgánicas y extrae la mayor información posible. (pág. 370)</w:t>
            </w:r>
          </w:p>
          <w:p>
            <w:pPr>
              <w:pStyle w:val="ListBullet"/>
              <w:spacing w:after="20"/>
              <w:ind w:left="198" w:hanging="170"/>
            </w:pPr>
            <w:r>
              <w:rPr>
                <w:b/>
                <w:i w:val="0"/>
                <w:sz w:val="15"/>
              </w:rPr>
              <w:t xml:space="preserve">Evaluación 3: </w:t>
            </w:r>
            <w:r>
              <w:rPr>
                <w:b w:val="0"/>
                <w:i w:val="0"/>
                <w:sz w:val="15"/>
              </w:rPr>
              <w:t>Cada estudiante observa los siguientes modelos y luego desarrolla lo que se solicita: F Cl Br HO 1. Escribe el nombre y la fórmula IUPAC de cada una de estas moléculas. (pág. 372)</w:t>
            </w:r>
          </w:p>
        </w:tc>
        <w:tc>
          <w:tcPr>
            <w:tcW w:type="dxa" w:w="1247"/>
          </w:tcPr>
          <w:p>
            <w:r/>
            <w:r>
              <w:rPr>
                <w:b/>
                <w:i/>
                <w:color w:val="595959"/>
                <w:sz w:val="15"/>
              </w:rPr>
              <w:t xml:space="preserve">Sugerencia — revisar: </w:t>
            </w:r>
            <w:r>
              <w:rPr>
                <w:b w:val="0"/>
                <w:i/>
                <w:color w:val="595959"/>
                <w:sz w:val="15"/>
              </w:rPr>
              <w:t>Modelos moleculares; simulaciones 3D; ejemplos de fármacos e isómeros.</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Usar modelos, simulaciones, videos, experimentos demostrativos y lecturas con apoyo gráfico.</w:t>
            </w:r>
          </w:p>
          <w:p>
            <w:r>
              <w:rPr>
                <w:b/>
                <w:i w:val="0"/>
                <w:sz w:val="18"/>
              </w:rPr>
              <w:t xml:space="preserve">Múltiples formas de acción y expresión: </w:t>
            </w:r>
            <w:r>
              <w:rPr>
                <w:b/>
                <w:i/>
                <w:color w:val="595959"/>
                <w:sz w:val="18"/>
              </w:rPr>
              <w:t xml:space="preserve">Sugerencia — revisar: </w:t>
            </w:r>
            <w:r>
              <w:rPr>
                <w:b w:val="0"/>
                <w:i/>
                <w:color w:val="595959"/>
                <w:sz w:val="18"/>
              </w:rPr>
              <w:t>Permitir comunicar resultados en informes, presentaciones orales, esquemas, maquetas o videos.</w:t>
            </w:r>
          </w:p>
          <w:p>
            <w:r>
              <w:rPr>
                <w:b/>
                <w:i w:val="0"/>
                <w:sz w:val="18"/>
              </w:rPr>
              <w:t xml:space="preserve">Múltiples formas de implicación: </w:t>
            </w:r>
            <w:r>
              <w:rPr>
                <w:b/>
                <w:i/>
                <w:color w:val="595959"/>
                <w:sz w:val="18"/>
              </w:rPr>
              <w:t xml:space="preserve">Sugerencia — revisar: </w:t>
            </w:r>
            <w:r>
              <w:rPr>
                <w:b w:val="0"/>
                <w:i/>
                <w:color w:val="595959"/>
                <w:sz w:val="18"/>
              </w:rPr>
              <w:t>Plantear preguntas de investigación vinculadas a la realidad de la región y trabajo colaborativo con roles.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QUÍMICA</w:t>
            </w:r>
          </w:p>
        </w:tc>
      </w:tr>
      <w:tr>
        <w:trPr>
          <w:cantSplit/>
        </w:trPr>
        <w:tc>
          <w:tcPr>
            <w:tcW w:type="dxa" w:w="1701"/>
          </w:tcPr>
          <w:p>
            <w:r>
              <w:rPr>
                <w:b/>
                <w:i w:val="0"/>
                <w:sz w:val="18"/>
              </w:rPr>
              <w:t>OA 15</w:t>
            </w:r>
          </w:p>
          <w:p>
            <w:r>
              <w:rPr>
                <w:b w:val="0"/>
                <w:i w:val="0"/>
                <w:color w:val="595959"/>
                <w:sz w:val="14"/>
              </w:rPr>
              <w:t>(B 165 · P 67)</w:t>
            </w:r>
          </w:p>
        </w:tc>
        <w:tc>
          <w:tcPr>
            <w:tcW w:type="dxa" w:w="14967"/>
          </w:tcPr>
          <w:p>
            <w:r>
              <w:rPr>
                <w:b w:val="0"/>
                <w:i w:val="0"/>
                <w:sz w:val="18"/>
              </w:rPr>
              <w:t>Explicar, por medio de modelos y la experimentación, las propiedades de las soluciones en ejemplos cercanos, considerando:</w:t>
            </w:r>
          </w:p>
          <w:p>
            <w:pPr>
              <w:pStyle w:val="ListBullet"/>
              <w:spacing w:after="20"/>
              <w:ind w:left="198" w:hanging="170"/>
            </w:pPr>
            <w:r>
              <w:rPr>
                <w:b w:val="0"/>
                <w:i w:val="0"/>
                <w:sz w:val="18"/>
              </w:rPr>
              <w:t>El estado físico (sólido, líquido y gaseoso).</w:t>
            </w:r>
          </w:p>
          <w:p>
            <w:pPr>
              <w:pStyle w:val="ListBullet"/>
              <w:spacing w:after="20"/>
              <w:ind w:left="198" w:hanging="170"/>
            </w:pPr>
            <w:r>
              <w:rPr>
                <w:b w:val="0"/>
                <w:i w:val="0"/>
                <w:sz w:val="18"/>
              </w:rPr>
              <w:t>Sus componentes (soluto y solvente).</w:t>
            </w:r>
          </w:p>
          <w:p>
            <w:pPr>
              <w:pStyle w:val="ListBullet"/>
              <w:spacing w:after="20"/>
              <w:ind w:left="198" w:hanging="170"/>
            </w:pPr>
            <w:r>
              <w:rPr>
                <w:b w:val="0"/>
                <w:i w:val="0"/>
                <w:sz w:val="18"/>
              </w:rPr>
              <w:t>La cantidad de soluto disuelto (concentración).</w:t>
            </w:r>
          </w:p>
        </w:tc>
      </w:tr>
      <w:tr>
        <w:trPr>
          <w:cantSplit/>
        </w:trPr>
        <w:tc>
          <w:tcPr>
            <w:tcW w:type="dxa" w:w="1701"/>
          </w:tcPr>
          <w:p>
            <w:r>
              <w:rPr>
                <w:b/>
                <w:i w:val="0"/>
                <w:sz w:val="18"/>
              </w:rPr>
              <w:t>OA 16</w:t>
            </w:r>
          </w:p>
          <w:p>
            <w:r>
              <w:rPr>
                <w:b w:val="0"/>
                <w:i w:val="0"/>
                <w:color w:val="595959"/>
                <w:sz w:val="14"/>
              </w:rPr>
              <w:t>(B 165 · P 67)</w:t>
            </w:r>
          </w:p>
        </w:tc>
        <w:tc>
          <w:tcPr>
            <w:tcW w:type="dxa" w:w="14967"/>
          </w:tcPr>
          <w:p>
            <w:r>
              <w:rPr>
                <w:b w:val="0"/>
                <w:i w:val="0"/>
                <w:sz w:val="18"/>
              </w:rPr>
              <w:t>Planificar y conducir una investigación experimental para proveer evidencias que expliquen las propiedades coligativas de las soluciones y su importancia en procesos cotidianos (la mantención de frutas y mermeladas en conserva) e industriales (aditivos en el agua de radiadores).</w:t>
            </w:r>
          </w:p>
        </w:tc>
      </w:tr>
      <w:tr>
        <w:trPr>
          <w:cantSplit/>
        </w:trPr>
        <w:tc>
          <w:tcPr>
            <w:tcW w:type="dxa" w:w="1701"/>
          </w:tcPr>
          <w:p>
            <w:r>
              <w:rPr>
                <w:b/>
                <w:i w:val="0"/>
                <w:sz w:val="18"/>
              </w:rPr>
              <w:t>OA 17</w:t>
            </w:r>
          </w:p>
          <w:p>
            <w:r>
              <w:rPr>
                <w:b w:val="0"/>
                <w:i w:val="0"/>
                <w:color w:val="595959"/>
                <w:sz w:val="14"/>
              </w:rPr>
              <w:t>(B 165 · P 67)</w:t>
            </w:r>
          </w:p>
        </w:tc>
        <w:tc>
          <w:tcPr>
            <w:tcW w:type="dxa" w:w="14967"/>
          </w:tcPr>
          <w:p>
            <w:r>
              <w:rPr>
                <w:b w:val="0"/>
                <w:i w:val="0"/>
                <w:sz w:val="18"/>
              </w:rPr>
              <w:t>Crear modelos del carbono y explicar sus propiedades como base para la formación de moléculas útiles para los seres vivos (biomoléculas presentes en la célula) y el entorno (hidrocarburos como petróleo y sus derivados).</w:t>
            </w:r>
          </w:p>
        </w:tc>
      </w:tr>
      <w:tr>
        <w:trPr>
          <w:cantSplit/>
        </w:trPr>
        <w:tc>
          <w:tcPr>
            <w:tcW w:type="dxa" w:w="1701"/>
          </w:tcPr>
          <w:p>
            <w:r>
              <w:rPr>
                <w:b/>
                <w:i w:val="0"/>
                <w:sz w:val="18"/>
              </w:rPr>
              <w:t>OA 18</w:t>
            </w:r>
          </w:p>
          <w:p>
            <w:r>
              <w:rPr>
                <w:b w:val="0"/>
                <w:i w:val="0"/>
                <w:color w:val="595959"/>
                <w:sz w:val="14"/>
              </w:rPr>
              <w:t>(B 165 · P 67)</w:t>
            </w:r>
          </w:p>
        </w:tc>
        <w:tc>
          <w:tcPr>
            <w:tcW w:type="dxa" w:w="14967"/>
          </w:tcPr>
          <w:p>
            <w:r>
              <w:rPr>
                <w:b w:val="0"/>
                <w:i w:val="0"/>
                <w:sz w:val="18"/>
              </w:rPr>
              <w:t>Desarrollar modelos que expliquen la estereoquímica e isomería de compuestos orgánicos como la glucosa, identificando sus propiedades y su utilidad para los seres vivos.</w:t>
            </w:r>
          </w:p>
        </w:tc>
      </w:tr>
      <w:tr>
        <w:trPr>
          <w:cantSplit/>
        </w:trPr>
        <w:tc>
          <w:tcPr>
            <w:tcW w:type="dxa" w:w="1701"/>
          </w:tcPr>
          <w:p>
            <w:r>
              <w:rPr>
                <w:b/>
                <w:i w:val="0"/>
                <w:sz w:val="18"/>
              </w:rPr>
              <w:t>OA a</w:t>
            </w:r>
          </w:p>
          <w:p>
            <w:r>
              <w:rPr>
                <w:b w:val="0"/>
                <w:i w:val="0"/>
                <w:color w:val="595959"/>
                <w:sz w:val="14"/>
              </w:rPr>
              <w:t>(P 299)</w:t>
            </w:r>
          </w:p>
        </w:tc>
        <w:tc>
          <w:tcPr>
            <w:tcW w:type="dxa" w:w="14967"/>
          </w:tcPr>
          <w:p>
            <w:r>
              <w:rPr>
                <w:b w:val="0"/>
                <w:i w:val="0"/>
                <w:sz w:val="18"/>
              </w:rPr>
              <w:t>Observar y describir detalladamente las características de objetos, procesos y fenómenos del mundo natural y tecnológico, usando los sentidos.</w:t>
            </w:r>
          </w:p>
        </w:tc>
      </w:tr>
      <w:tr>
        <w:trPr>
          <w:cantSplit/>
        </w:trPr>
        <w:tc>
          <w:tcPr>
            <w:tcW w:type="dxa" w:w="1701"/>
          </w:tcPr>
          <w:p>
            <w:r>
              <w:rPr>
                <w:b/>
                <w:i w:val="0"/>
                <w:sz w:val="18"/>
              </w:rPr>
              <w:t>OA b</w:t>
            </w:r>
          </w:p>
          <w:p>
            <w:r>
              <w:rPr>
                <w:b w:val="0"/>
                <w:i w:val="0"/>
                <w:color w:val="595959"/>
                <w:sz w:val="14"/>
              </w:rPr>
              <w:t>(P 299)</w:t>
            </w:r>
          </w:p>
        </w:tc>
        <w:tc>
          <w:tcPr>
            <w:tcW w:type="dxa" w:w="14967"/>
          </w:tcPr>
          <w:p>
            <w:r>
              <w:rPr>
                <w:b w:val="0"/>
                <w:i w:val="0"/>
                <w:sz w:val="18"/>
              </w:rPr>
              <w:t>Formular preguntas y/o problemas, a partir de conocimiento científico, que puedan ser resueltos mediante una investigación científica*.</w:t>
            </w:r>
          </w:p>
        </w:tc>
      </w:tr>
      <w:tr>
        <w:trPr>
          <w:cantSplit/>
        </w:trPr>
        <w:tc>
          <w:tcPr>
            <w:tcW w:type="dxa" w:w="1701"/>
          </w:tcPr>
          <w:p>
            <w:r>
              <w:rPr>
                <w:b/>
                <w:i w:val="0"/>
                <w:sz w:val="18"/>
              </w:rPr>
              <w:t>OA c</w:t>
            </w:r>
          </w:p>
          <w:p>
            <w:r>
              <w:rPr>
                <w:b w:val="0"/>
                <w:i w:val="0"/>
                <w:color w:val="595959"/>
                <w:sz w:val="14"/>
              </w:rPr>
              <w:t>(P 299)</w:t>
            </w:r>
          </w:p>
        </w:tc>
        <w:tc>
          <w:tcPr>
            <w:tcW w:type="dxa" w:w="14967"/>
          </w:tcPr>
          <w:p>
            <w:r>
              <w:rPr>
                <w:b w:val="0"/>
                <w:i w:val="0"/>
                <w:sz w:val="18"/>
              </w:rPr>
              <w:t>Formular y fundamentar hipótesis comprobables, basándose en conocimiento científico.</w:t>
            </w:r>
          </w:p>
        </w:tc>
      </w:tr>
      <w:tr>
        <w:trPr>
          <w:cantSplit/>
        </w:trPr>
        <w:tc>
          <w:tcPr>
            <w:tcW w:type="dxa" w:w="1701"/>
          </w:tcPr>
          <w:p>
            <w:r>
              <w:rPr>
                <w:b/>
                <w:i w:val="0"/>
                <w:sz w:val="18"/>
              </w:rPr>
              <w:t>OA d</w:t>
            </w:r>
          </w:p>
          <w:p>
            <w:r>
              <w:rPr>
                <w:b w:val="0"/>
                <w:i w:val="0"/>
                <w:color w:val="595959"/>
                <w:sz w:val="14"/>
              </w:rPr>
              <w:t>(P 300)</w:t>
            </w:r>
          </w:p>
        </w:tc>
        <w:tc>
          <w:tcPr>
            <w:tcW w:type="dxa" w:w="14967"/>
          </w:tcPr>
          <w:p>
            <w:r>
              <w:rPr>
                <w:b w:val="0"/>
                <w:i w:val="0"/>
                <w:sz w:val="18"/>
              </w:rPr>
              <w:t>Planificar diversos diseños de investigaciones experimentales que den respuesta a una pregunta y/o problema sobre la base de diversas fuentes de información científica, considerando:</w:t>
            </w:r>
          </w:p>
          <w:p>
            <w:pPr>
              <w:pStyle w:val="ListBullet"/>
              <w:spacing w:after="20"/>
              <w:ind w:left="198" w:hanging="170"/>
            </w:pPr>
            <w:r>
              <w:rPr>
                <w:b w:val="0"/>
                <w:i w:val="0"/>
                <w:sz w:val="18"/>
              </w:rPr>
              <w:t>El uso adecuado de instrumentos y materiales para asegurar la obtención de datos confiables.</w:t>
            </w:r>
          </w:p>
          <w:p>
            <w:pPr>
              <w:pStyle w:val="ListBullet"/>
              <w:spacing w:after="20"/>
              <w:ind w:left="198" w:hanging="170"/>
            </w:pPr>
            <w:r>
              <w:rPr>
                <w:b w:val="0"/>
                <w:i w:val="0"/>
                <w:sz w:val="18"/>
              </w:rPr>
              <w:t>La manipulación de variables y sus relaciones.</w:t>
            </w:r>
          </w:p>
          <w:p>
            <w:pPr>
              <w:pStyle w:val="ListBullet"/>
              <w:spacing w:after="20"/>
              <w:ind w:left="198" w:hanging="170"/>
            </w:pPr>
            <w:r>
              <w:rPr>
                <w:b w:val="0"/>
                <w:i w:val="0"/>
                <w:sz w:val="18"/>
              </w:rPr>
              <w:t>La explicación clara de procedimientos posibles de replicar.</w:t>
            </w:r>
          </w:p>
        </w:tc>
      </w:tr>
      <w:tr>
        <w:trPr>
          <w:cantSplit/>
        </w:trPr>
        <w:tc>
          <w:tcPr>
            <w:tcW w:type="dxa" w:w="1701"/>
          </w:tcPr>
          <w:p>
            <w:r>
              <w:rPr>
                <w:b/>
                <w:i w:val="0"/>
                <w:sz w:val="18"/>
              </w:rPr>
              <w:t>OA e</w:t>
            </w:r>
          </w:p>
          <w:p>
            <w:r>
              <w:rPr>
                <w:b w:val="0"/>
                <w:i w:val="0"/>
                <w:color w:val="595959"/>
                <w:sz w:val="14"/>
              </w:rPr>
              <w:t>(P 300)</w:t>
            </w:r>
          </w:p>
        </w:tc>
        <w:tc>
          <w:tcPr>
            <w:tcW w:type="dxa" w:w="14967"/>
          </w:tcPr>
          <w:p>
            <w:r>
              <w:rPr>
                <w:b w:val="0"/>
                <w:i w:val="0"/>
                <w:sz w:val="18"/>
              </w:rPr>
              <w:t>Planificar una investigación no experimental y/o documental que considere diversas fuentes de información para responder a preguntas científicas o para constituir el marco teórico de la investigación experimental.</w:t>
            </w:r>
          </w:p>
        </w:tc>
      </w:tr>
      <w:tr>
        <w:trPr>
          <w:cantSplit/>
        </w:trPr>
        <w:tc>
          <w:tcPr>
            <w:tcW w:type="dxa" w:w="1701"/>
          </w:tcPr>
          <w:p>
            <w:r>
              <w:rPr>
                <w:b/>
                <w:i w:val="0"/>
                <w:sz w:val="18"/>
              </w:rPr>
              <w:t>OA f</w:t>
            </w:r>
          </w:p>
          <w:p>
            <w:r>
              <w:rPr>
                <w:b w:val="0"/>
                <w:i w:val="0"/>
                <w:color w:val="595959"/>
                <w:sz w:val="14"/>
              </w:rPr>
              <w:t>(P 300)</w:t>
            </w:r>
          </w:p>
        </w:tc>
        <w:tc>
          <w:tcPr>
            <w:tcW w:type="dxa" w:w="14967"/>
          </w:tcPr>
          <w:p>
            <w:r>
              <w:rPr>
                <w:b w:val="0"/>
                <w:i w:val="0"/>
                <w:sz w:val="18"/>
              </w:rPr>
              <w:t>Conducir rigurosamente investigaciones científicas para obtener evidencias precisas y confiables con el apoyo de las TIC.</w:t>
            </w:r>
          </w:p>
        </w:tc>
      </w:tr>
      <w:tr>
        <w:trPr>
          <w:cantSplit/>
        </w:trPr>
        <w:tc>
          <w:tcPr>
            <w:tcW w:type="dxa" w:w="1701"/>
          </w:tcPr>
          <w:p>
            <w:r>
              <w:rPr>
                <w:b/>
                <w:i w:val="0"/>
                <w:sz w:val="18"/>
              </w:rPr>
              <w:t>OA g</w:t>
            </w:r>
          </w:p>
          <w:p>
            <w:r>
              <w:rPr>
                <w:b w:val="0"/>
                <w:i w:val="0"/>
                <w:color w:val="595959"/>
                <w:sz w:val="14"/>
              </w:rPr>
              <w:t>(P 300)</w:t>
            </w:r>
          </w:p>
        </w:tc>
        <w:tc>
          <w:tcPr>
            <w:tcW w:type="dxa" w:w="14967"/>
          </w:tcPr>
          <w:p>
            <w:r>
              <w:rPr>
                <w:b w:val="0"/>
                <w:i w:val="0"/>
                <w:sz w:val="18"/>
              </w:rPr>
              <w:t>Organizar el trabajo colaborativo, asignando responsabilidades, comunicándose en forma efectiva y siguiendo normas de seguridad.</w:t>
            </w:r>
          </w:p>
        </w:tc>
      </w:tr>
      <w:tr>
        <w:trPr>
          <w:cantSplit/>
        </w:trPr>
        <w:tc>
          <w:tcPr>
            <w:tcW w:type="dxa" w:w="1701"/>
          </w:tcPr>
          <w:p>
            <w:r>
              <w:rPr>
                <w:b/>
                <w:i w:val="0"/>
                <w:sz w:val="18"/>
              </w:rPr>
              <w:t>OA h</w:t>
            </w:r>
          </w:p>
          <w:p>
            <w:r>
              <w:rPr>
                <w:b w:val="0"/>
                <w:i w:val="0"/>
                <w:color w:val="595959"/>
                <w:sz w:val="14"/>
              </w:rPr>
              <w:t>(P 301)</w:t>
            </w:r>
          </w:p>
        </w:tc>
        <w:tc>
          <w:tcPr>
            <w:tcW w:type="dxa" w:w="14967"/>
          </w:tcPr>
          <w:p>
            <w:r>
              <w:rPr>
                <w:b w:val="0"/>
                <w:i w:val="0"/>
                <w:sz w:val="18"/>
              </w:rPr>
              <w:t>Organizar datos cuantitativos y/o cualitativos con precisión, fundamentando su confiabilidad, y presentarlos en tablas, gráficos, modelos u otras representaciones, con la ayuda de las TIC.</w:t>
            </w:r>
          </w:p>
        </w:tc>
      </w:tr>
      <w:tr>
        <w:trPr>
          <w:cantSplit/>
        </w:trPr>
        <w:tc>
          <w:tcPr>
            <w:tcW w:type="dxa" w:w="1701"/>
          </w:tcPr>
          <w:p>
            <w:r>
              <w:rPr>
                <w:b/>
                <w:i w:val="0"/>
                <w:sz w:val="18"/>
              </w:rPr>
              <w:t>OA i</w:t>
            </w:r>
          </w:p>
          <w:p>
            <w:r>
              <w:rPr>
                <w:b w:val="0"/>
                <w:i w:val="0"/>
                <w:color w:val="595959"/>
                <w:sz w:val="14"/>
              </w:rPr>
              <w:t>(P 301)</w:t>
            </w:r>
          </w:p>
        </w:tc>
        <w:tc>
          <w:tcPr>
            <w:tcW w:type="dxa" w:w="14967"/>
          </w:tcPr>
          <w:p>
            <w:r>
              <w:rPr>
                <w:b w:val="0"/>
                <w:i w:val="0"/>
                <w:sz w:val="18"/>
              </w:rPr>
              <w:t>Crear, seleccionar, usar y ajustar modelos para describir mecanismos y para predecir y apoyar explicaciones sobre las relaciones entre las partes de un sistema.</w:t>
            </w:r>
          </w:p>
        </w:tc>
      </w:tr>
      <w:tr>
        <w:trPr>
          <w:cantSplit/>
        </w:trPr>
        <w:tc>
          <w:tcPr>
            <w:tcW w:type="dxa" w:w="1701"/>
          </w:tcPr>
          <w:p>
            <w:r>
              <w:rPr>
                <w:b/>
                <w:i w:val="0"/>
                <w:sz w:val="18"/>
              </w:rPr>
              <w:t>OA j</w:t>
            </w:r>
          </w:p>
          <w:p>
            <w:r>
              <w:rPr>
                <w:b w:val="0"/>
                <w:i w:val="0"/>
                <w:color w:val="595959"/>
                <w:sz w:val="14"/>
              </w:rPr>
              <w:t>(P 301)</w:t>
            </w:r>
          </w:p>
        </w:tc>
        <w:tc>
          <w:tcPr>
            <w:tcW w:type="dxa" w:w="14967"/>
          </w:tcPr>
          <w:p>
            <w:r>
              <w:rPr>
                <w:b w:val="0"/>
                <w:i w:val="0"/>
                <w:sz w:val="18"/>
              </w:rPr>
              <w:t>Analizar y explicar los resultados de una investigación científica*, para plantear inferencias y conclusiones:</w:t>
            </w:r>
          </w:p>
          <w:p>
            <w:pPr>
              <w:pStyle w:val="ListBullet"/>
              <w:spacing w:after="20"/>
              <w:ind w:left="198" w:hanging="170"/>
            </w:pPr>
            <w:r>
              <w:rPr>
                <w:b w:val="0"/>
                <w:i w:val="0"/>
                <w:sz w:val="18"/>
              </w:rPr>
              <w:t>Comparando las relaciones, tendencias y patrones de las variables.</w:t>
            </w:r>
          </w:p>
          <w:p>
            <w:pPr>
              <w:pStyle w:val="ListBullet"/>
              <w:spacing w:after="20"/>
              <w:ind w:left="198" w:hanging="170"/>
            </w:pPr>
            <w:r>
              <w:rPr>
                <w:b w:val="0"/>
                <w:i w:val="0"/>
                <w:sz w:val="18"/>
              </w:rPr>
              <w:t>Usando expresiones y operaciones matemáticas cuando sea pertinente (por ejemplo: potencias, razones, funciones, notación científica, medidas de tendencia central, cambio porcentual).</w:t>
            </w:r>
          </w:p>
          <w:p>
            <w:pPr>
              <w:pStyle w:val="ListBullet"/>
              <w:spacing w:after="20"/>
              <w:ind w:left="198" w:hanging="170"/>
            </w:pPr>
            <w:r>
              <w:rPr>
                <w:b w:val="0"/>
                <w:i w:val="0"/>
                <w:sz w:val="18"/>
              </w:rPr>
              <w:t>Utilizando vocabulario disciplinar pertinente.</w:t>
            </w:r>
          </w:p>
        </w:tc>
      </w:tr>
      <w:tr>
        <w:trPr>
          <w:cantSplit/>
        </w:trPr>
        <w:tc>
          <w:tcPr>
            <w:tcW w:type="dxa" w:w="1701"/>
          </w:tcPr>
          <w:p>
            <w:r>
              <w:rPr>
                <w:b/>
                <w:i w:val="0"/>
                <w:sz w:val="18"/>
              </w:rPr>
              <w:t>OA k</w:t>
            </w:r>
          </w:p>
          <w:p>
            <w:r>
              <w:rPr>
                <w:b w:val="0"/>
                <w:i w:val="0"/>
                <w:color w:val="595959"/>
                <w:sz w:val="14"/>
              </w:rPr>
              <w:t>(P 302)</w:t>
            </w:r>
          </w:p>
        </w:tc>
        <w:tc>
          <w:tcPr>
            <w:tcW w:type="dxa" w:w="14967"/>
          </w:tcPr>
          <w:p>
            <w:r>
              <w:rPr>
                <w:b w:val="0"/>
                <w:i w:val="0"/>
                <w:sz w:val="18"/>
              </w:rPr>
              <w:t>Evaluar la investigación científica* con el fin de perfeccionarla, considerando:</w:t>
            </w:r>
          </w:p>
          <w:p>
            <w:pPr>
              <w:pStyle w:val="ListBullet"/>
              <w:spacing w:after="20"/>
              <w:ind w:left="198" w:hanging="170"/>
            </w:pPr>
            <w:r>
              <w:rPr>
                <w:b w:val="0"/>
                <w:i w:val="0"/>
                <w:sz w:val="18"/>
              </w:rPr>
              <w:t>La validez y confiabilidad de los resultados.</w:t>
            </w:r>
          </w:p>
          <w:p>
            <w:pPr>
              <w:pStyle w:val="ListBullet"/>
              <w:spacing w:after="20"/>
              <w:ind w:left="198" w:hanging="170"/>
            </w:pPr>
            <w:r>
              <w:rPr>
                <w:b w:val="0"/>
                <w:i w:val="0"/>
                <w:sz w:val="18"/>
              </w:rPr>
              <w:t>La replicabilidad de los procedimientos.</w:t>
            </w:r>
          </w:p>
          <w:p>
            <w:pPr>
              <w:pStyle w:val="ListBullet"/>
              <w:spacing w:after="20"/>
              <w:ind w:left="198" w:hanging="170"/>
            </w:pPr>
            <w:r>
              <w:rPr>
                <w:b w:val="0"/>
                <w:i w:val="0"/>
                <w:sz w:val="18"/>
              </w:rPr>
              <w:t>Las explicaciones, las predicciones y las conclusiones.</w:t>
            </w:r>
          </w:p>
          <w:p>
            <w:pPr>
              <w:pStyle w:val="ListBullet"/>
              <w:spacing w:after="20"/>
              <w:ind w:left="198" w:hanging="170"/>
            </w:pPr>
            <w:r>
              <w:rPr>
                <w:b w:val="0"/>
                <w:i w:val="0"/>
                <w:sz w:val="18"/>
              </w:rPr>
              <w:t>Las posibles aplicaciones tecnológicas.</w:t>
            </w:r>
          </w:p>
          <w:p>
            <w:pPr>
              <w:pStyle w:val="ListBullet"/>
              <w:spacing w:after="20"/>
              <w:ind w:left="198" w:hanging="170"/>
            </w:pPr>
            <w:r>
              <w:rPr>
                <w:b w:val="0"/>
                <w:i w:val="0"/>
                <w:sz w:val="18"/>
              </w:rPr>
              <w:t>El desempeño personal y grupal.</w:t>
            </w:r>
          </w:p>
        </w:tc>
      </w:tr>
      <w:tr>
        <w:trPr>
          <w:cantSplit/>
        </w:trPr>
        <w:tc>
          <w:tcPr>
            <w:tcW w:type="dxa" w:w="1701"/>
          </w:tcPr>
          <w:p>
            <w:r>
              <w:rPr>
                <w:b/>
                <w:i w:val="0"/>
                <w:sz w:val="18"/>
              </w:rPr>
              <w:t>OA l</w:t>
            </w:r>
          </w:p>
          <w:p>
            <w:r>
              <w:rPr>
                <w:b w:val="0"/>
                <w:i w:val="0"/>
                <w:color w:val="595959"/>
                <w:sz w:val="14"/>
              </w:rPr>
              <w:t>(P 302)</w:t>
            </w:r>
          </w:p>
        </w:tc>
        <w:tc>
          <w:tcPr>
            <w:tcW w:type="dxa" w:w="14967"/>
          </w:tcPr>
          <w:p>
            <w:r>
              <w:rPr>
                <w:b w:val="0"/>
                <w:i w:val="0"/>
                <w:sz w:val="18"/>
              </w:rPr>
              <w:t>Explicar y argumentar con evidencias provenientes de investigaciones científicas*, en forma oral y escrita, incluyendo tablas, gráficos, modelos y TIC.</w:t>
            </w:r>
          </w:p>
        </w:tc>
      </w:tr>
      <w:tr>
        <w:trPr>
          <w:cantSplit/>
        </w:trPr>
        <w:tc>
          <w:tcPr>
            <w:tcW w:type="dxa" w:w="1701"/>
          </w:tcPr>
          <w:p>
            <w:r>
              <w:rPr>
                <w:b/>
                <w:i w:val="0"/>
                <w:sz w:val="18"/>
              </w:rPr>
              <w:t>OA m</w:t>
            </w:r>
          </w:p>
          <w:p>
            <w:r>
              <w:rPr>
                <w:b w:val="0"/>
                <w:i w:val="0"/>
                <w:color w:val="595959"/>
                <w:sz w:val="14"/>
              </w:rPr>
              <w:t>(P 302)</w:t>
            </w:r>
          </w:p>
        </w:tc>
        <w:tc>
          <w:tcPr>
            <w:tcW w:type="dxa" w:w="14967"/>
          </w:tcPr>
          <w:p>
            <w:r>
              <w:rPr>
                <w:b w:val="0"/>
                <w:i w:val="0"/>
                <w:sz w:val="18"/>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303)</w:t>
            </w:r>
          </w:p>
        </w:tc>
        <w:tc>
          <w:tcPr>
            <w:tcW w:type="dxa" w:w="14967"/>
          </w:tcPr>
          <w:p>
            <w:r>
              <w:rPr>
                <w:b w:val="0"/>
                <w:i w:val="0"/>
                <w:sz w:val="18"/>
              </w:rPr>
              <w:t>Mostrar curiosidad, creatividad e interés por conocer y comprender los fenómenos del entorno natural y tecnológico, disfrutando del crecimiento intelectual que genera el conocimiento científico y valorando su importancia para el desarrollo de la sociedad.</w:t>
            </w:r>
          </w:p>
        </w:tc>
      </w:tr>
      <w:tr>
        <w:trPr>
          <w:cantSplit/>
        </w:trPr>
        <w:tc>
          <w:tcPr>
            <w:tcW w:type="dxa" w:w="1701"/>
          </w:tcPr>
          <w:p>
            <w:r>
              <w:rPr>
                <w:b/>
                <w:i w:val="0"/>
                <w:sz w:val="18"/>
              </w:rPr>
              <w:t>OA B</w:t>
            </w:r>
          </w:p>
          <w:p>
            <w:r>
              <w:rPr>
                <w:b w:val="0"/>
                <w:i w:val="0"/>
                <w:color w:val="595959"/>
                <w:sz w:val="14"/>
              </w:rPr>
              <w:t>(P 304)</w:t>
            </w:r>
          </w:p>
        </w:tc>
        <w:tc>
          <w:tcPr>
            <w:tcW w:type="dxa" w:w="14967"/>
          </w:tcPr>
          <w:p>
            <w:r>
              <w:rPr>
                <w:b w:val="0"/>
                <w:i w:val="0"/>
                <w:sz w:val="18"/>
              </w:rPr>
              <w:t>Esforzarse y perseverar en el trabajo personal entendiendo que los logros se obtienen solo después de un trabajo riguroso, y que los datos empíricamente confiables se obtienen si se trabaja con precisión y orden</w:t>
            </w:r>
          </w:p>
        </w:tc>
      </w:tr>
      <w:tr>
        <w:trPr>
          <w:cantSplit/>
        </w:trPr>
        <w:tc>
          <w:tcPr>
            <w:tcW w:type="dxa" w:w="1701"/>
          </w:tcPr>
          <w:p>
            <w:r>
              <w:rPr>
                <w:b/>
                <w:i w:val="0"/>
                <w:sz w:val="18"/>
              </w:rPr>
              <w:t>OA C</w:t>
            </w:r>
          </w:p>
          <w:p>
            <w:r>
              <w:rPr>
                <w:b w:val="0"/>
                <w:i w:val="0"/>
                <w:color w:val="595959"/>
                <w:sz w:val="14"/>
              </w:rPr>
              <w:t>(P 304)</w:t>
            </w:r>
          </w:p>
        </w:tc>
        <w:tc>
          <w:tcPr>
            <w:tcW w:type="dxa" w:w="14967"/>
          </w:tcPr>
          <w:p>
            <w:r>
              <w:rPr>
                <w:b w:val="0"/>
                <w:i w:val="0"/>
                <w:sz w:val="18"/>
              </w:rPr>
              <w:t>Trabajar responsablemente en forma proactiva y colaborativa, considerando y respetando los variados aportes del equipo y manifestando disposición a entender los argumentos de otros en las soluciones a problemas científicos.</w:t>
            </w:r>
          </w:p>
        </w:tc>
      </w:tr>
      <w:tr>
        <w:trPr>
          <w:cantSplit/>
        </w:trPr>
        <w:tc>
          <w:tcPr>
            <w:tcW w:type="dxa" w:w="1701"/>
          </w:tcPr>
          <w:p>
            <w:r>
              <w:rPr>
                <w:b/>
                <w:i w:val="0"/>
                <w:sz w:val="18"/>
              </w:rPr>
              <w:t>OA D</w:t>
            </w:r>
          </w:p>
          <w:p>
            <w:r>
              <w:rPr>
                <w:b w:val="0"/>
                <w:i w:val="0"/>
                <w:color w:val="595959"/>
                <w:sz w:val="14"/>
              </w:rPr>
              <w:t>(P 305)</w:t>
            </w:r>
          </w:p>
        </w:tc>
        <w:tc>
          <w:tcPr>
            <w:tcW w:type="dxa" w:w="14967"/>
          </w:tcPr>
          <w:p>
            <w:r>
              <w:rPr>
                <w:b w:val="0"/>
                <w:i w:val="0"/>
                <w:sz w:val="18"/>
              </w:rPr>
              <w:t>Manifestar una actitud de pensamiento crítico, buscando rigurosidad y replicabilidad de las evidencias para sustentar las respuestas, las soluciones o las hipótesis.</w:t>
            </w:r>
          </w:p>
        </w:tc>
      </w:tr>
      <w:tr>
        <w:trPr>
          <w:cantSplit/>
        </w:trPr>
        <w:tc>
          <w:tcPr>
            <w:tcW w:type="dxa" w:w="1701"/>
          </w:tcPr>
          <w:p>
            <w:r>
              <w:rPr>
                <w:b/>
                <w:i w:val="0"/>
                <w:sz w:val="18"/>
              </w:rPr>
              <w:t>OA E</w:t>
            </w:r>
          </w:p>
          <w:p>
            <w:r>
              <w:rPr>
                <w:b w:val="0"/>
                <w:i w:val="0"/>
                <w:color w:val="595959"/>
                <w:sz w:val="14"/>
              </w:rPr>
              <w:t>(P 305)</w:t>
            </w:r>
          </w:p>
        </w:tc>
        <w:tc>
          <w:tcPr>
            <w:tcW w:type="dxa" w:w="14967"/>
          </w:tcPr>
          <w:p>
            <w:r>
              <w:rPr>
                <w:b w:val="0"/>
                <w:i w:val="0"/>
                <w:sz w:val="18"/>
              </w:rPr>
              <w:t>Usar de manera responsable y efectiva las tecnologías de la comunicación para favorecer las explicaciones científicas y el procesamiento de evidencias, dando crédito al trabajo de otros y respetando la propiedad y la privacidad de las personas.</w:t>
            </w:r>
          </w:p>
        </w:tc>
      </w:tr>
      <w:tr>
        <w:trPr>
          <w:cantSplit/>
        </w:trPr>
        <w:tc>
          <w:tcPr>
            <w:tcW w:type="dxa" w:w="1701"/>
          </w:tcPr>
          <w:p>
            <w:r>
              <w:rPr>
                <w:b/>
                <w:i w:val="0"/>
                <w:sz w:val="18"/>
              </w:rPr>
              <w:t>OA F</w:t>
            </w:r>
          </w:p>
          <w:p>
            <w:r>
              <w:rPr>
                <w:b w:val="0"/>
                <w:i w:val="0"/>
                <w:color w:val="595959"/>
                <w:sz w:val="14"/>
              </w:rPr>
              <w:t>(P 306)</w:t>
            </w:r>
          </w:p>
        </w:tc>
        <w:tc>
          <w:tcPr>
            <w:tcW w:type="dxa" w:w="14967"/>
          </w:tcPr>
          <w:p>
            <w:r>
              <w:rPr>
                <w:b w:val="0"/>
                <w:i w:val="0"/>
                <w:sz w:val="18"/>
              </w:rPr>
              <w:t>Demostrar valoración y cuidado por la salud y la integridad de las personas, evitando conductas de riesgo, considerando medidas de seguridad y tomando conciencia de las implicancias éticas de los avances científicos y tecnológicos.</w:t>
            </w:r>
          </w:p>
        </w:tc>
      </w:tr>
      <w:tr>
        <w:trPr>
          <w:cantSplit/>
        </w:trPr>
        <w:tc>
          <w:tcPr>
            <w:tcW w:type="dxa" w:w="1701"/>
          </w:tcPr>
          <w:p>
            <w:r>
              <w:rPr>
                <w:b/>
                <w:i w:val="0"/>
                <w:sz w:val="18"/>
              </w:rPr>
              <w:t>OA G</w:t>
            </w:r>
          </w:p>
          <w:p>
            <w:r>
              <w:rPr>
                <w:b w:val="0"/>
                <w:i w:val="0"/>
                <w:color w:val="595959"/>
                <w:sz w:val="14"/>
              </w:rPr>
              <w:t>(P 306)</w:t>
            </w:r>
          </w:p>
        </w:tc>
        <w:tc>
          <w:tcPr>
            <w:tcW w:type="dxa" w:w="14967"/>
          </w:tcPr>
          <w:p>
            <w:r>
              <w:rPr>
                <w:b w:val="0"/>
                <w:i w:val="0"/>
                <w:sz w:val="18"/>
              </w:rPr>
              <w:t>Reconocer la importancia del entorno natural y sus recursos, y manifestar conductas de cuidado y uso eficiente de los recursos naturales y energéticos en favor del desarrollo sustentable y la protección del ambiente.</w:t>
            </w:r>
          </w:p>
        </w:tc>
      </w:tr>
      <w:tr>
        <w:trPr>
          <w:cantSplit/>
        </w:trPr>
        <w:tc>
          <w:tcPr>
            <w:tcW w:type="dxa" w:w="1701"/>
          </w:tcPr>
          <w:p>
            <w:r>
              <w:rPr>
                <w:b/>
                <w:i w:val="0"/>
                <w:sz w:val="18"/>
              </w:rPr>
              <w:t>OA H</w:t>
            </w:r>
          </w:p>
          <w:p>
            <w:r>
              <w:rPr>
                <w:b w:val="0"/>
                <w:i w:val="0"/>
                <w:color w:val="595959"/>
                <w:sz w:val="14"/>
              </w:rPr>
              <w:t>(P 306)</w:t>
            </w:r>
          </w:p>
        </w:tc>
        <w:tc>
          <w:tcPr>
            <w:tcW w:type="dxa" w:w="14967"/>
          </w:tcPr>
          <w:p>
            <w:r>
              <w:rPr>
                <w:b w:val="0"/>
                <w:i w:val="0"/>
                <w:sz w:val="18"/>
              </w:rPr>
              <w:t>Demostrar valoración e interés por los aportes de hombres y mujeres al conocimiento científico y reconocer que desde siempre los seres humanos han intentado comprender el mundo.</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Ciencias Naturales 2° medio (eje Química),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Ciencias Naturales: Química · 2°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Ciencias Naturales: Química · 2° medio</dc:title>
  <dc:subject/>
  <dc:creator/>
  <cp:keywords/>
  <dc:description>Generado el 2026-10-23 desde programa_ciencias_2medio.pdf (sha256 49ba82915d32) con plantilla_anual.md v1.0.</dc:description>
  <cp:lastModifiedBy/>
  <cp:revision>1</cp:revision>
  <dcterms:created xsi:type="dcterms:W3CDTF">2013-12-23T23:15:00Z</dcterms:created>
  <dcterms:modified xsi:type="dcterms:W3CDTF">2013-12-23T23:15:00Z</dcterms:modified>
  <cp:category/>
</cp:coreProperties>
</file>